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7567FB" w:rsidRDefault="001E7135" w:rsidP="001E7135">
      <w:pPr>
        <w:spacing w:after="0" w:line="360" w:lineRule="auto"/>
        <w:jc w:val="right"/>
        <w:outlineLvl w:val="0"/>
        <w:rPr>
          <w:rFonts w:eastAsia="Times New Roman" w:cs="Times New Roman"/>
          <w:color w:val="000000"/>
          <w:lang w:eastAsia="pl-PL"/>
        </w:rPr>
      </w:pPr>
      <w:r w:rsidRPr="007567FB">
        <w:rPr>
          <w:rFonts w:eastAsia="Times New Roman" w:cs="Times New Roman"/>
          <w:color w:val="000000"/>
          <w:lang w:eastAsia="pl-PL"/>
        </w:rPr>
        <w:t xml:space="preserve">Warszawa, dnia </w:t>
      </w:r>
      <w:r w:rsidR="00FE7027">
        <w:rPr>
          <w:rFonts w:eastAsia="Times New Roman" w:cs="Times New Roman"/>
          <w:color w:val="000000"/>
          <w:lang w:eastAsia="pl-PL"/>
        </w:rPr>
        <w:t>………………….</w:t>
      </w:r>
      <w:r w:rsidRPr="007567FB">
        <w:rPr>
          <w:rFonts w:eastAsia="Times New Roman" w:cs="Times New Roman"/>
          <w:color w:val="000000"/>
          <w:lang w:eastAsia="pl-PL"/>
        </w:rPr>
        <w:t xml:space="preserve"> 2019 roku</w:t>
      </w:r>
    </w:p>
    <w:p w:rsidR="00CA4A84" w:rsidRDefault="00CA4A84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975F9B" w:rsidRPr="00975F9B" w:rsidRDefault="00975F9B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975F9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Rozeznanie rynku </w:t>
      </w:r>
      <w:r w:rsidR="00147E4E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W ZAKRESIE WARUNKÓW CENOWYCH </w:t>
      </w:r>
      <w:r w:rsidR="007D695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ZAKUPU </w:t>
      </w:r>
      <w:r w:rsidR="001E1831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I DOSTAWY </w:t>
      </w:r>
      <w:r w:rsidR="00D00DBC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komputerów stacjonarnych z wyposażeniem dodatkowym</w:t>
      </w:r>
      <w:r w:rsidRPr="00975F9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.</w:t>
      </w:r>
    </w:p>
    <w:p w:rsidR="00975F9B" w:rsidRDefault="00975F9B" w:rsidP="00A8790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b/>
          <w:bCs/>
          <w:color w:val="000000"/>
          <w:lang w:eastAsia="pl-PL"/>
        </w:rPr>
        <w:t>Ogólne informacje</w:t>
      </w:r>
      <w:r w:rsidRPr="00CB7EE8">
        <w:rPr>
          <w:rFonts w:eastAsia="Times New Roman" w:cs="Times New Roman"/>
          <w:color w:val="000000"/>
          <w:lang w:eastAsia="pl-PL"/>
        </w:rPr>
        <w:t xml:space="preserve"> </w:t>
      </w:r>
    </w:p>
    <w:p w:rsidR="007D695B" w:rsidRDefault="001E1831" w:rsidP="001E18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1E1831">
        <w:rPr>
          <w:rFonts w:eastAsia="Times New Roman" w:cs="Times New Roman"/>
          <w:color w:val="000000"/>
          <w:lang w:eastAsia="pl-PL"/>
        </w:rPr>
        <w:t>Niniejszy dokument stanowi prośbę o przekazanie informa</w:t>
      </w:r>
      <w:r>
        <w:rPr>
          <w:rFonts w:eastAsia="Times New Roman" w:cs="Times New Roman"/>
          <w:color w:val="000000"/>
          <w:lang w:eastAsia="pl-PL"/>
        </w:rPr>
        <w:t>cji cenowej dotyczącej zakupu i </w:t>
      </w:r>
      <w:r w:rsidRPr="001E1831">
        <w:rPr>
          <w:rFonts w:eastAsia="Times New Roman" w:cs="Times New Roman"/>
          <w:color w:val="000000"/>
          <w:lang w:eastAsia="pl-PL"/>
        </w:rPr>
        <w:t>dostawy zestawu stacji roboczych (jednostka centralna, mo</w:t>
      </w:r>
      <w:r>
        <w:rPr>
          <w:rFonts w:eastAsia="Times New Roman" w:cs="Times New Roman"/>
          <w:color w:val="000000"/>
          <w:lang w:eastAsia="pl-PL"/>
        </w:rPr>
        <w:t>nitor, mysz, klawiatura) wraz z </w:t>
      </w:r>
      <w:r w:rsidRPr="001E1831">
        <w:rPr>
          <w:rFonts w:eastAsia="Times New Roman" w:cs="Times New Roman"/>
          <w:color w:val="000000"/>
          <w:lang w:eastAsia="pl-PL"/>
        </w:rPr>
        <w:t xml:space="preserve">systemem operacyjnym Windows 10 </w:t>
      </w:r>
      <w:r>
        <w:rPr>
          <w:rFonts w:eastAsia="Times New Roman" w:cs="Times New Roman"/>
          <w:color w:val="000000"/>
          <w:lang w:eastAsia="pl-PL"/>
        </w:rPr>
        <w:t>Professional (lub równoważn</w:t>
      </w:r>
      <w:r w:rsidR="00FE7027">
        <w:rPr>
          <w:rFonts w:eastAsia="Times New Roman" w:cs="Times New Roman"/>
          <w:color w:val="000000"/>
          <w:lang w:eastAsia="pl-PL"/>
        </w:rPr>
        <w:t>ym</w:t>
      </w:r>
      <w:r>
        <w:rPr>
          <w:rFonts w:eastAsia="Times New Roman" w:cs="Times New Roman"/>
          <w:color w:val="000000"/>
          <w:lang w:eastAsia="pl-PL"/>
        </w:rPr>
        <w:t>) dalej „RFI”</w:t>
      </w:r>
      <w:r w:rsidRPr="001E1831">
        <w:rPr>
          <w:rFonts w:eastAsia="Times New Roman" w:cs="Times New Roman"/>
          <w:color w:val="000000"/>
          <w:lang w:eastAsia="pl-PL"/>
        </w:rPr>
        <w:t>.</w:t>
      </w:r>
    </w:p>
    <w:p w:rsidR="00DE770F" w:rsidRDefault="00DE770F" w:rsidP="00DE77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E770F">
        <w:rPr>
          <w:rFonts w:eastAsia="Times New Roman" w:cs="Times New Roman"/>
          <w:color w:val="000000"/>
          <w:lang w:eastAsia="pl-PL"/>
        </w:rPr>
        <w:t>Szczegółowe wymagania dotyczące oferty są przedstawione w dalszej części niniejszego zapytania.</w:t>
      </w:r>
    </w:p>
    <w:p w:rsidR="00DE770F" w:rsidRDefault="00DE770F" w:rsidP="00DE77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E770F">
        <w:rPr>
          <w:rFonts w:eastAsia="Times New Roman" w:cs="Times New Roman"/>
          <w:color w:val="000000"/>
          <w:lang w:eastAsia="pl-PL"/>
        </w:rPr>
        <w:t>Oferta cenowa będzie podstawą do oszacowania wartości zamówienia.</w:t>
      </w:r>
    </w:p>
    <w:p w:rsidR="00DE770F" w:rsidRDefault="00DE770F" w:rsidP="00DE77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E770F">
        <w:rPr>
          <w:rFonts w:eastAsia="Times New Roman" w:cs="Times New Roman"/>
          <w:color w:val="000000"/>
          <w:lang w:eastAsia="pl-PL"/>
        </w:rPr>
        <w:t>Niniejsze zapytanie nie stanowi oferty zawarcia umowy w rozumieniu przepisów Kodeksu Cywilnego.</w:t>
      </w:r>
    </w:p>
    <w:p w:rsidR="00DE770F" w:rsidRDefault="00DE770F" w:rsidP="00DE77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E770F">
        <w:rPr>
          <w:rFonts w:eastAsia="Times New Roman" w:cs="Times New Roman"/>
          <w:color w:val="000000"/>
          <w:lang w:eastAsia="pl-PL"/>
        </w:rPr>
        <w:t>Potencjalni składający nie będą uprawnieni do występowania z jakimikolwiek roszczeniami pieniężnymi lub niepieniężnymi w związku z przygotowaniem odpowiedzi na niniejsze zapytanie.</w:t>
      </w:r>
    </w:p>
    <w:p w:rsidR="000C5783" w:rsidRDefault="000C5783" w:rsidP="000C57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0C5783">
        <w:rPr>
          <w:rFonts w:eastAsia="Times New Roman" w:cs="Times New Roman"/>
          <w:color w:val="000000"/>
          <w:lang w:eastAsia="pl-PL"/>
        </w:rPr>
        <w:t>Treść dokumentu, wszelkie informacje, do których się odwołuje oraz prowadzona korespondencja i rozmowy muszą zostać zachowane w tajemnicy. Przesyłający ofertę jest zobowiązany do nie udostępniania osobom trzecim informacji uzyskanych w związku z</w:t>
      </w:r>
      <w:r w:rsidR="001E1831">
        <w:rPr>
          <w:rFonts w:eastAsia="Times New Roman" w:cs="Times New Roman"/>
          <w:color w:val="000000"/>
          <w:lang w:eastAsia="pl-PL"/>
        </w:rPr>
        <w:t> </w:t>
      </w:r>
      <w:r w:rsidRPr="000C5783">
        <w:rPr>
          <w:rFonts w:eastAsia="Times New Roman" w:cs="Times New Roman"/>
          <w:color w:val="000000"/>
          <w:lang w:eastAsia="pl-PL"/>
        </w:rPr>
        <w:t>zapytaniem bez pisemnej zgodny i upoważnienia ze strony ZUS.</w:t>
      </w:r>
    </w:p>
    <w:p w:rsidR="00975F9B" w:rsidRPr="00DE770F" w:rsidRDefault="00975F9B" w:rsidP="00A8790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Times New Roman"/>
          <w:b/>
          <w:bCs/>
          <w:color w:val="000000"/>
          <w:lang w:eastAsia="pl-PL"/>
        </w:rPr>
      </w:pPr>
      <w:r w:rsidRPr="00DE770F">
        <w:rPr>
          <w:rFonts w:eastAsia="Times New Roman" w:cs="Times New Roman"/>
          <w:b/>
          <w:bCs/>
          <w:color w:val="000000"/>
          <w:lang w:eastAsia="pl-PL"/>
        </w:rPr>
        <w:t xml:space="preserve">Termin i sposób złożenia </w:t>
      </w:r>
      <w:r w:rsidR="00D00DBC">
        <w:rPr>
          <w:rFonts w:eastAsia="Times New Roman" w:cs="Times New Roman"/>
          <w:b/>
          <w:bCs/>
          <w:color w:val="000000"/>
          <w:lang w:eastAsia="pl-PL"/>
        </w:rPr>
        <w:t>oferty cenowej</w:t>
      </w:r>
    </w:p>
    <w:p w:rsidR="00CA4A84" w:rsidRDefault="008F2EDD" w:rsidP="00CB7EE8">
      <w:pPr>
        <w:shd w:val="clear" w:color="auto" w:fill="FFFFFF"/>
        <w:spacing w:after="0"/>
        <w:rPr>
          <w:rStyle w:val="Hipercze"/>
          <w:rFonts w:eastAsia="Times New Roman" w:cs="Times New Roman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>Odpowied</w:t>
      </w:r>
      <w:r>
        <w:rPr>
          <w:rFonts w:eastAsia="Times New Roman" w:cs="Times New Roman"/>
          <w:color w:val="000000"/>
          <w:lang w:eastAsia="pl-PL"/>
        </w:rPr>
        <w:t xml:space="preserve">ź na </w:t>
      </w:r>
      <w:r w:rsidR="00D00DBC">
        <w:rPr>
          <w:rFonts w:eastAsia="Times New Roman" w:cs="Times New Roman"/>
          <w:color w:val="000000"/>
          <w:lang w:eastAsia="pl-PL"/>
        </w:rPr>
        <w:t>zapytanie</w:t>
      </w:r>
      <w:r w:rsidRPr="00975F9B">
        <w:rPr>
          <w:rFonts w:eastAsia="Times New Roman" w:cs="Times New Roman"/>
          <w:color w:val="000000"/>
          <w:lang w:eastAsia="pl-PL"/>
        </w:rPr>
        <w:t xml:space="preserve"> należy przesłać w terminie </w:t>
      </w:r>
      <w:r w:rsidR="001E1831">
        <w:rPr>
          <w:rFonts w:eastAsia="Times New Roman" w:cs="Times New Roman"/>
          <w:color w:val="000000"/>
          <w:lang w:eastAsia="pl-PL"/>
        </w:rPr>
        <w:t xml:space="preserve">do </w:t>
      </w:r>
      <w:r w:rsidR="003B220B" w:rsidRPr="003B220B">
        <w:rPr>
          <w:rFonts w:eastAsia="Times New Roman" w:cs="Times New Roman"/>
          <w:b/>
          <w:color w:val="000000"/>
          <w:lang w:eastAsia="pl-PL"/>
        </w:rPr>
        <w:t>14</w:t>
      </w:r>
      <w:r w:rsidR="001E1831" w:rsidRPr="003B220B">
        <w:rPr>
          <w:rFonts w:eastAsia="Times New Roman" w:cs="Times New Roman"/>
          <w:b/>
          <w:color w:val="000000"/>
          <w:lang w:eastAsia="pl-PL"/>
        </w:rPr>
        <w:t xml:space="preserve"> cze</w:t>
      </w:r>
      <w:r w:rsidR="003B220B" w:rsidRPr="003B220B">
        <w:rPr>
          <w:rFonts w:eastAsia="Times New Roman" w:cs="Times New Roman"/>
          <w:b/>
          <w:color w:val="000000"/>
          <w:lang w:eastAsia="pl-PL"/>
        </w:rPr>
        <w:t>rwca 2019 roku do godz. 12</w:t>
      </w:r>
      <w:r w:rsidR="001E1831" w:rsidRPr="003B220B">
        <w:rPr>
          <w:rFonts w:eastAsia="Times New Roman" w:cs="Times New Roman"/>
          <w:b/>
          <w:color w:val="000000"/>
          <w:lang w:eastAsia="pl-PL"/>
        </w:rPr>
        <w:t>:00</w:t>
      </w:r>
      <w:r w:rsidR="001E1831" w:rsidRPr="001E1831">
        <w:rPr>
          <w:rFonts w:eastAsia="Times New Roman" w:cs="Times New Roman"/>
          <w:color w:val="000000"/>
          <w:lang w:eastAsia="pl-PL"/>
        </w:rPr>
        <w:t xml:space="preserve"> </w:t>
      </w:r>
      <w:r w:rsidR="00AF437B">
        <w:rPr>
          <w:rFonts w:eastAsia="Times New Roman" w:cs="Times New Roman"/>
          <w:color w:val="000000"/>
          <w:lang w:eastAsia="pl-PL"/>
        </w:rPr>
        <w:t xml:space="preserve"> na adresy</w:t>
      </w:r>
      <w:r w:rsidR="00AF437B">
        <w:rPr>
          <w:rFonts w:eastAsia="Times New Roman" w:cs="Times New Roman"/>
          <w:color w:val="000000"/>
          <w:lang w:eastAsia="pl-PL"/>
        </w:rPr>
        <w:br/>
      </w:r>
      <w:r w:rsidRPr="00975F9B">
        <w:rPr>
          <w:rFonts w:eastAsia="Times New Roman" w:cs="Times New Roman"/>
          <w:color w:val="000000"/>
          <w:lang w:eastAsia="pl-PL"/>
        </w:rPr>
        <w:t>e-mail:</w:t>
      </w:r>
      <w:r w:rsidR="00B5314F">
        <w:rPr>
          <w:rFonts w:eastAsia="Times New Roman" w:cs="Times New Roman"/>
          <w:color w:val="000000"/>
          <w:lang w:eastAsia="pl-PL"/>
        </w:rPr>
        <w:t xml:space="preserve"> </w:t>
      </w:r>
      <w:hyperlink r:id="rId10" w:history="1">
        <w:r w:rsidR="001E1831" w:rsidRPr="003C29CC">
          <w:rPr>
            <w:rStyle w:val="Hipercze"/>
            <w:rFonts w:eastAsia="Times New Roman" w:cs="Times New Roman"/>
            <w:lang w:eastAsia="pl-PL"/>
          </w:rPr>
          <w:t>anna.sobierajska-horaczek@zus.pl</w:t>
        </w:r>
      </w:hyperlink>
      <w:r w:rsidR="001E1831" w:rsidRPr="001E1831">
        <w:rPr>
          <w:rStyle w:val="Hipercze"/>
          <w:rFonts w:eastAsia="Times New Roman" w:cs="Times New Roman"/>
          <w:u w:val="none"/>
          <w:lang w:eastAsia="pl-PL"/>
        </w:rPr>
        <w:t xml:space="preserve"> </w:t>
      </w:r>
      <w:r w:rsidR="001E1831" w:rsidRPr="001E1831">
        <w:rPr>
          <w:color w:val="000000"/>
        </w:rPr>
        <w:t xml:space="preserve">i </w:t>
      </w:r>
      <w:hyperlink r:id="rId11" w:history="1">
        <w:r w:rsidR="00C3119D" w:rsidRPr="003C29CC">
          <w:rPr>
            <w:rStyle w:val="Hipercze"/>
            <w:rFonts w:eastAsia="Times New Roman" w:cs="Times New Roman"/>
            <w:lang w:eastAsia="pl-PL"/>
          </w:rPr>
          <w:t>ZakupyIT@zus.pl</w:t>
        </w:r>
      </w:hyperlink>
    </w:p>
    <w:p w:rsidR="00C3119D" w:rsidRDefault="00C3119D" w:rsidP="00CB7EE8">
      <w:pPr>
        <w:shd w:val="clear" w:color="auto" w:fill="FFFFFF"/>
        <w:spacing w:after="0"/>
        <w:rPr>
          <w:rStyle w:val="Hipercze"/>
          <w:rFonts w:eastAsia="Times New Roman" w:cs="Times New Roman"/>
          <w:lang w:eastAsia="pl-PL"/>
        </w:rPr>
      </w:pPr>
    </w:p>
    <w:p w:rsidR="00975F9B" w:rsidRPr="00CB7EE8" w:rsidRDefault="00975F9B" w:rsidP="00A8790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uto"/>
        <w:rPr>
          <w:lang w:eastAsia="pl-PL"/>
        </w:rPr>
      </w:pPr>
      <w:r w:rsidRPr="00975F9B">
        <w:rPr>
          <w:b/>
          <w:bCs/>
          <w:lang w:eastAsia="pl-PL"/>
        </w:rPr>
        <w:t xml:space="preserve">Sposób przygotowania </w:t>
      </w:r>
      <w:r w:rsidR="00DE770F" w:rsidRPr="00DE770F">
        <w:rPr>
          <w:b/>
          <w:bCs/>
          <w:lang w:eastAsia="pl-PL"/>
        </w:rPr>
        <w:t>oferty cenowej</w:t>
      </w:r>
    </w:p>
    <w:p w:rsidR="00DE770F" w:rsidRPr="00DE770F" w:rsidRDefault="00DE770F" w:rsidP="00DE770F">
      <w:pPr>
        <w:shd w:val="clear" w:color="auto" w:fill="FFFFFF"/>
        <w:spacing w:before="100" w:beforeAutospacing="1" w:after="100" w:afterAutospacing="1" w:line="336" w:lineRule="auto"/>
        <w:rPr>
          <w:rFonts w:eastAsia="Times New Roman" w:cs="Times New Roman"/>
          <w:color w:val="000000"/>
          <w:lang w:eastAsia="pl-PL"/>
        </w:rPr>
      </w:pPr>
      <w:r w:rsidRPr="00DE770F">
        <w:rPr>
          <w:rFonts w:eastAsia="Times New Roman" w:cs="Times New Roman"/>
          <w:color w:val="000000"/>
          <w:lang w:eastAsia="pl-PL"/>
        </w:rPr>
        <w:t>Oferta powinna zawierać:</w:t>
      </w:r>
    </w:p>
    <w:p w:rsidR="00F82B75" w:rsidRPr="00F82B75" w:rsidRDefault="00F82B75" w:rsidP="00F82B75">
      <w:pPr>
        <w:pStyle w:val="Akapitzlist"/>
        <w:numPr>
          <w:ilvl w:val="0"/>
          <w:numId w:val="3"/>
        </w:numPr>
        <w:shd w:val="clear" w:color="auto" w:fill="FFFFFF"/>
        <w:autoSpaceDN w:val="0"/>
        <w:spacing w:before="100" w:beforeAutospacing="1" w:after="100" w:afterAutospacing="1" w:line="336" w:lineRule="auto"/>
        <w:ind w:left="851" w:hanging="284"/>
        <w:rPr>
          <w:rFonts w:eastAsia="Times New Roman" w:cs="Times New Roman"/>
          <w:color w:val="000000"/>
          <w:lang w:eastAsia="pl-PL"/>
        </w:rPr>
      </w:pPr>
      <w:r w:rsidRPr="00F82B75">
        <w:rPr>
          <w:rFonts w:eastAsia="Times New Roman" w:cs="Times New Roman"/>
          <w:color w:val="000000"/>
          <w:lang w:eastAsia="pl-PL"/>
        </w:rPr>
        <w:t>Dane podmiotu odpowiadającego na RFI,</w:t>
      </w:r>
    </w:p>
    <w:p w:rsidR="00DE770F" w:rsidRDefault="00F82B75" w:rsidP="00F82B75">
      <w:pPr>
        <w:pStyle w:val="Akapitzlist"/>
        <w:numPr>
          <w:ilvl w:val="0"/>
          <w:numId w:val="3"/>
        </w:numPr>
        <w:shd w:val="clear" w:color="auto" w:fill="FFFFFF"/>
        <w:autoSpaceDN w:val="0"/>
        <w:spacing w:before="100" w:beforeAutospacing="1" w:after="100" w:afterAutospacing="1" w:line="336" w:lineRule="auto"/>
        <w:ind w:left="851" w:hanging="284"/>
        <w:rPr>
          <w:rFonts w:eastAsia="Times New Roman" w:cs="Times New Roman"/>
          <w:color w:val="000000"/>
          <w:lang w:eastAsia="pl-PL"/>
        </w:rPr>
      </w:pPr>
      <w:r w:rsidRPr="00F82B75">
        <w:rPr>
          <w:rFonts w:eastAsia="Times New Roman" w:cs="Times New Roman"/>
          <w:color w:val="000000"/>
          <w:lang w:eastAsia="pl-PL"/>
        </w:rPr>
        <w:t>Wskazanie osób uprawnionych do kontaktu z ZUS wraz z danymi do kontaktu (imię i nazwisko, telefon, faks, email)</w:t>
      </w:r>
      <w:r w:rsidR="00DE770F" w:rsidRPr="00DE770F">
        <w:rPr>
          <w:rFonts w:eastAsia="Times New Roman" w:cs="Times New Roman"/>
          <w:color w:val="000000"/>
          <w:lang w:eastAsia="pl-PL"/>
        </w:rPr>
        <w:t>,</w:t>
      </w:r>
    </w:p>
    <w:p w:rsidR="001E2488" w:rsidRDefault="001E2488" w:rsidP="00A87900">
      <w:pPr>
        <w:pStyle w:val="Akapitzlist"/>
        <w:numPr>
          <w:ilvl w:val="0"/>
          <w:numId w:val="3"/>
        </w:numPr>
        <w:shd w:val="clear" w:color="auto" w:fill="FFFFFF"/>
        <w:autoSpaceDN w:val="0"/>
        <w:spacing w:after="0" w:line="360" w:lineRule="auto"/>
        <w:ind w:left="851" w:hanging="284"/>
        <w:contextualSpacing w:val="0"/>
        <w:rPr>
          <w:rFonts w:eastAsia="Times New Roman" w:cs="Times New Roman"/>
          <w:color w:val="000000"/>
          <w:lang w:eastAsia="pl-PL"/>
        </w:rPr>
      </w:pPr>
      <w:r w:rsidRPr="001E2488">
        <w:rPr>
          <w:rFonts w:eastAsia="Times New Roman" w:cs="Times New Roman"/>
          <w:color w:val="000000"/>
          <w:lang w:eastAsia="pl-PL"/>
        </w:rPr>
        <w:t>Szacowanie wartości zamówienia</w:t>
      </w:r>
      <w:r w:rsidR="00F82B75">
        <w:rPr>
          <w:rFonts w:eastAsia="Times New Roman" w:cs="Times New Roman"/>
          <w:color w:val="000000"/>
          <w:lang w:eastAsia="pl-PL"/>
        </w:rPr>
        <w:t xml:space="preserve"> dla </w:t>
      </w:r>
      <w:r w:rsidR="008155F9">
        <w:rPr>
          <w:rFonts w:eastAsia="Times New Roman" w:cs="Times New Roman"/>
          <w:color w:val="000000"/>
          <w:lang w:eastAsia="pl-PL"/>
        </w:rPr>
        <w:t>dwóch</w:t>
      </w:r>
      <w:r w:rsidR="008155F9">
        <w:rPr>
          <w:rFonts w:eastAsia="Times New Roman" w:cs="Times New Roman"/>
          <w:color w:val="000000"/>
          <w:lang w:eastAsia="pl-PL"/>
        </w:rPr>
        <w:t xml:space="preserve"> </w:t>
      </w:r>
      <w:r w:rsidR="003E0020">
        <w:rPr>
          <w:rFonts w:eastAsia="Times New Roman" w:cs="Times New Roman"/>
          <w:color w:val="000000"/>
          <w:lang w:eastAsia="pl-PL"/>
        </w:rPr>
        <w:t>Zestawów komputerowych w dwóch Wariantach</w:t>
      </w:r>
      <w:r w:rsidR="000B2AD3">
        <w:rPr>
          <w:rFonts w:eastAsia="Times New Roman" w:cs="Times New Roman"/>
          <w:color w:val="000000"/>
          <w:lang w:eastAsia="pl-PL"/>
        </w:rPr>
        <w:t>, zgodnych ze S</w:t>
      </w:r>
      <w:r w:rsidR="003E0020">
        <w:rPr>
          <w:rFonts w:eastAsia="Times New Roman" w:cs="Times New Roman"/>
          <w:color w:val="000000"/>
          <w:lang w:eastAsia="pl-PL"/>
        </w:rPr>
        <w:t>pecyfikacją techniczną</w:t>
      </w:r>
      <w:r w:rsidR="000B2AD3">
        <w:rPr>
          <w:rFonts w:eastAsia="Times New Roman" w:cs="Times New Roman"/>
          <w:color w:val="000000"/>
          <w:lang w:eastAsia="pl-PL"/>
        </w:rPr>
        <w:t xml:space="preserve"> sprzętu</w:t>
      </w:r>
      <w:r w:rsidR="003E0020">
        <w:rPr>
          <w:rFonts w:eastAsia="Times New Roman" w:cs="Times New Roman"/>
          <w:color w:val="000000"/>
          <w:lang w:eastAsia="pl-PL"/>
        </w:rPr>
        <w:t>, stanowiącą Załącznik do RFI.</w:t>
      </w:r>
    </w:p>
    <w:p w:rsidR="003E0020" w:rsidRPr="001E2488" w:rsidRDefault="003E0020" w:rsidP="003E0020">
      <w:pPr>
        <w:pStyle w:val="Akapitzlist"/>
        <w:shd w:val="clear" w:color="auto" w:fill="FFFFFF"/>
        <w:autoSpaceDN w:val="0"/>
        <w:spacing w:after="0" w:line="360" w:lineRule="auto"/>
        <w:ind w:left="851"/>
        <w:contextualSpacing w:val="0"/>
        <w:rPr>
          <w:rFonts w:eastAsia="Times New Roman" w:cs="Times New Roman"/>
          <w:color w:val="000000"/>
          <w:lang w:eastAsia="pl-PL"/>
        </w:rPr>
      </w:pPr>
    </w:p>
    <w:p w:rsidR="00190F29" w:rsidRPr="00190F29" w:rsidDel="006449F0" w:rsidRDefault="008155F9" w:rsidP="00F82B75">
      <w:pPr>
        <w:pStyle w:val="Akapitzlist"/>
        <w:shd w:val="clear" w:color="auto" w:fill="FFFFFF"/>
        <w:autoSpaceDN w:val="0"/>
        <w:spacing w:after="0" w:line="360" w:lineRule="auto"/>
        <w:ind w:left="1276" w:hanging="425"/>
        <w:contextualSpacing w:val="0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Zestaw - W</w:t>
      </w:r>
      <w:r w:rsidR="00F82B75" w:rsidDel="006449F0">
        <w:rPr>
          <w:rFonts w:eastAsia="Times New Roman" w:cs="Times New Roman"/>
          <w:b/>
          <w:color w:val="000000"/>
          <w:lang w:eastAsia="pl-PL"/>
        </w:rPr>
        <w:t>arian</w:t>
      </w:r>
      <w:r>
        <w:rPr>
          <w:rFonts w:eastAsia="Times New Roman" w:cs="Times New Roman"/>
          <w:b/>
          <w:color w:val="000000"/>
          <w:lang w:eastAsia="pl-PL"/>
        </w:rPr>
        <w:t>t</w:t>
      </w:r>
      <w:r w:rsidR="00F82B75" w:rsidDel="006449F0">
        <w:rPr>
          <w:rFonts w:eastAsia="Times New Roman" w:cs="Times New Roman"/>
          <w:b/>
          <w:color w:val="000000"/>
          <w:lang w:eastAsia="pl-PL"/>
        </w:rPr>
        <w:t xml:space="preserve"> A</w:t>
      </w:r>
    </w:p>
    <w:p w:rsidR="00F82B75" w:rsidRDefault="00DE770F" w:rsidP="001E1831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 w:rsidRPr="00D00DBC">
        <w:rPr>
          <w:rFonts w:eastAsia="Times New Roman" w:cs="Times New Roman"/>
          <w:color w:val="000000"/>
          <w:lang w:eastAsia="pl-PL"/>
        </w:rPr>
        <w:t xml:space="preserve">Szacowana całkowita wartość </w:t>
      </w:r>
      <w:r w:rsidR="00085676" w:rsidRPr="00D00DBC">
        <w:rPr>
          <w:rFonts w:eastAsia="Times New Roman" w:cs="Times New Roman"/>
          <w:color w:val="000000"/>
          <w:lang w:eastAsia="pl-PL"/>
        </w:rPr>
        <w:t xml:space="preserve">zamówienia </w:t>
      </w:r>
      <w:r w:rsidR="001E1831">
        <w:rPr>
          <w:rFonts w:eastAsia="Times New Roman" w:cs="Times New Roman"/>
          <w:color w:val="000000"/>
          <w:lang w:eastAsia="pl-PL"/>
        </w:rPr>
        <w:t>dla ilości 5.000 szt.</w:t>
      </w:r>
    </w:p>
    <w:p w:rsidR="002F54E4" w:rsidRDefault="002F54E4" w:rsidP="008155F9">
      <w:pPr>
        <w:pStyle w:val="Akapitzlist"/>
        <w:shd w:val="clear" w:color="auto" w:fill="FFFFFF"/>
        <w:autoSpaceDN w:val="0"/>
        <w:spacing w:after="0" w:line="360" w:lineRule="auto"/>
        <w:ind w:left="1418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u w:val="single"/>
          <w:lang w:eastAsia="pl-PL"/>
        </w:rPr>
        <w:t>K</w:t>
      </w:r>
      <w:r w:rsidRPr="00F82B75">
        <w:rPr>
          <w:rFonts w:eastAsia="Times New Roman" w:cs="Times New Roman"/>
          <w:b/>
          <w:bCs/>
          <w:color w:val="000000"/>
          <w:u w:val="single"/>
          <w:lang w:eastAsia="pl-PL"/>
        </w:rPr>
        <w:t>omputer</w:t>
      </w:r>
      <w:r>
        <w:rPr>
          <w:rFonts w:eastAsia="Times New Roman" w:cs="Times New Roman"/>
          <w:b/>
          <w:bCs/>
          <w:color w:val="000000"/>
          <w:u w:val="single"/>
          <w:lang w:eastAsia="pl-PL"/>
        </w:rPr>
        <w:t xml:space="preserve"> (z klawiaturą i myszką)</w:t>
      </w:r>
      <w:r w:rsidRPr="00F82B75">
        <w:rPr>
          <w:rFonts w:eastAsia="Times New Roman" w:cs="Times New Roman"/>
          <w:b/>
          <w:bCs/>
          <w:color w:val="000000"/>
          <w:u w:val="single"/>
          <w:lang w:eastAsia="pl-PL"/>
        </w:rPr>
        <w:t>:</w:t>
      </w:r>
      <w:r>
        <w:rPr>
          <w:rFonts w:eastAsia="Times New Roman" w:cs="Times New Roman"/>
          <w:color w:val="000000"/>
          <w:lang w:eastAsia="pl-PL"/>
        </w:rPr>
        <w:t xml:space="preserve"> wartość </w:t>
      </w:r>
      <w:r w:rsidRPr="00D00DBC">
        <w:rPr>
          <w:rFonts w:eastAsia="Times New Roman" w:cs="Times New Roman"/>
          <w:color w:val="000000"/>
          <w:lang w:eastAsia="pl-PL"/>
        </w:rPr>
        <w:t>brutto</w:t>
      </w:r>
      <w:r>
        <w:rPr>
          <w:rFonts w:eastAsia="Times New Roman" w:cs="Times New Roman"/>
          <w:color w:val="000000"/>
          <w:lang w:eastAsia="pl-PL"/>
        </w:rPr>
        <w:t xml:space="preserve"> ………</w:t>
      </w:r>
      <w:r w:rsidRPr="00D00DBC">
        <w:rPr>
          <w:rFonts w:eastAsia="Times New Roman" w:cs="Times New Roman"/>
          <w:color w:val="000000"/>
          <w:lang w:eastAsia="pl-PL"/>
        </w:rPr>
        <w:t>……</w:t>
      </w:r>
      <w:r>
        <w:rPr>
          <w:rFonts w:eastAsia="Times New Roman" w:cs="Times New Roman"/>
          <w:color w:val="000000"/>
          <w:lang w:eastAsia="pl-PL"/>
        </w:rPr>
        <w:t>………</w:t>
      </w:r>
      <w:r w:rsidRPr="00D00DBC">
        <w:rPr>
          <w:rFonts w:eastAsia="Times New Roman" w:cs="Times New Roman"/>
          <w:color w:val="000000"/>
          <w:lang w:eastAsia="pl-PL"/>
        </w:rPr>
        <w:t>…………..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Pr="00D00DBC">
        <w:rPr>
          <w:rFonts w:eastAsia="Times New Roman" w:cs="Times New Roman"/>
          <w:color w:val="000000"/>
          <w:lang w:eastAsia="pl-PL"/>
        </w:rPr>
        <w:t xml:space="preserve">PLN, </w:t>
      </w:r>
      <w:r>
        <w:rPr>
          <w:rFonts w:eastAsia="Times New Roman" w:cs="Times New Roman"/>
          <w:color w:val="000000"/>
          <w:lang w:eastAsia="pl-PL"/>
        </w:rPr>
        <w:t>(cena jednostkowa brutto…………….….. PLN);</w:t>
      </w:r>
    </w:p>
    <w:p w:rsidR="00F82B75" w:rsidRDefault="00F82B75" w:rsidP="001E1831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Producent: ………………………………………………</w:t>
      </w:r>
    </w:p>
    <w:p w:rsidR="00F82B75" w:rsidRDefault="00F82B75" w:rsidP="001E1831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Model: …………………………………………………….</w:t>
      </w:r>
    </w:p>
    <w:p w:rsidR="006449F0" w:rsidRDefault="006449F0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b/>
          <w:bCs/>
          <w:color w:val="000000"/>
          <w:u w:val="single"/>
          <w:lang w:eastAsia="pl-PL"/>
        </w:rPr>
      </w:pPr>
    </w:p>
    <w:p w:rsidR="008155F9" w:rsidRDefault="008155F9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b/>
          <w:bCs/>
          <w:color w:val="000000"/>
          <w:u w:val="single"/>
          <w:lang w:eastAsia="pl-PL"/>
        </w:rPr>
      </w:pPr>
    </w:p>
    <w:p w:rsidR="006449F0" w:rsidRDefault="00F82B75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 w:rsidRPr="00F82B75">
        <w:rPr>
          <w:rFonts w:eastAsia="Times New Roman" w:cs="Times New Roman"/>
          <w:b/>
          <w:bCs/>
          <w:color w:val="000000"/>
          <w:u w:val="single"/>
          <w:lang w:eastAsia="pl-PL"/>
        </w:rPr>
        <w:t>Monitor:</w:t>
      </w:r>
      <w:r>
        <w:rPr>
          <w:rFonts w:eastAsia="Times New Roman" w:cs="Times New Roman"/>
          <w:color w:val="000000"/>
          <w:lang w:eastAsia="pl-PL"/>
        </w:rPr>
        <w:t xml:space="preserve"> wartość </w:t>
      </w:r>
      <w:r w:rsidRPr="00D00DBC">
        <w:rPr>
          <w:rFonts w:eastAsia="Times New Roman" w:cs="Times New Roman"/>
          <w:color w:val="000000"/>
          <w:lang w:eastAsia="pl-PL"/>
        </w:rPr>
        <w:t>brutto</w:t>
      </w:r>
      <w:r>
        <w:rPr>
          <w:rFonts w:eastAsia="Times New Roman" w:cs="Times New Roman"/>
          <w:color w:val="000000"/>
          <w:lang w:eastAsia="pl-PL"/>
        </w:rPr>
        <w:t xml:space="preserve"> ………</w:t>
      </w:r>
      <w:r w:rsidRPr="00D00DBC">
        <w:rPr>
          <w:rFonts w:eastAsia="Times New Roman" w:cs="Times New Roman"/>
          <w:color w:val="000000"/>
          <w:lang w:eastAsia="pl-PL"/>
        </w:rPr>
        <w:t>……</w:t>
      </w:r>
      <w:r>
        <w:rPr>
          <w:rFonts w:eastAsia="Times New Roman" w:cs="Times New Roman"/>
          <w:color w:val="000000"/>
          <w:lang w:eastAsia="pl-PL"/>
        </w:rPr>
        <w:t>…</w:t>
      </w:r>
      <w:r w:rsidRPr="00D00DBC">
        <w:rPr>
          <w:rFonts w:eastAsia="Times New Roman" w:cs="Times New Roman"/>
          <w:color w:val="000000"/>
          <w:lang w:eastAsia="pl-PL"/>
        </w:rPr>
        <w:t>…………..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Pr="00D00DBC">
        <w:rPr>
          <w:rFonts w:eastAsia="Times New Roman" w:cs="Times New Roman"/>
          <w:color w:val="000000"/>
          <w:lang w:eastAsia="pl-PL"/>
        </w:rPr>
        <w:t>PLN,</w:t>
      </w:r>
    </w:p>
    <w:p w:rsidR="00F82B75" w:rsidRDefault="00F82B75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(cena jednostkowa brutto…………….. PLN);</w:t>
      </w:r>
    </w:p>
    <w:p w:rsidR="00F82B75" w:rsidRDefault="00F82B75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Producent: ………………………………………………</w:t>
      </w:r>
    </w:p>
    <w:p w:rsidR="00F82B75" w:rsidRDefault="00F82B75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Model: …………………………………………………….</w:t>
      </w:r>
    </w:p>
    <w:p w:rsidR="008155F9" w:rsidRDefault="008155F9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</w:p>
    <w:p w:rsidR="006449F0" w:rsidRDefault="008155F9" w:rsidP="006449F0">
      <w:pPr>
        <w:pStyle w:val="Akapitzlist"/>
        <w:shd w:val="clear" w:color="auto" w:fill="FFFFFF"/>
        <w:autoSpaceDN w:val="0"/>
        <w:spacing w:after="0" w:line="360" w:lineRule="auto"/>
        <w:ind w:left="1276" w:hanging="425"/>
        <w:contextualSpacing w:val="0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Zestaw - </w:t>
      </w:r>
      <w:r w:rsidR="006449F0">
        <w:rPr>
          <w:rFonts w:eastAsia="Times New Roman" w:cs="Times New Roman"/>
          <w:b/>
          <w:color w:val="000000"/>
          <w:lang w:eastAsia="pl-PL"/>
        </w:rPr>
        <w:t>Wariant B</w:t>
      </w:r>
    </w:p>
    <w:p w:rsidR="008155F9" w:rsidRPr="008155F9" w:rsidRDefault="008155F9" w:rsidP="008155F9">
      <w:pPr>
        <w:pStyle w:val="Akapitzlist"/>
        <w:shd w:val="clear" w:color="auto" w:fill="FFFFFF"/>
        <w:autoSpaceDN w:val="0"/>
        <w:spacing w:after="0" w:line="360" w:lineRule="auto"/>
        <w:ind w:left="1276" w:firstLine="142"/>
        <w:contextualSpacing w:val="0"/>
        <w:rPr>
          <w:rFonts w:eastAsia="Times New Roman" w:cs="Times New Roman"/>
          <w:color w:val="000000"/>
          <w:lang w:eastAsia="pl-PL"/>
        </w:rPr>
      </w:pPr>
      <w:r w:rsidRPr="008155F9">
        <w:rPr>
          <w:rFonts w:eastAsia="Times New Roman" w:cs="Times New Roman"/>
          <w:color w:val="000000"/>
          <w:lang w:eastAsia="pl-PL"/>
        </w:rPr>
        <w:t>Szacowana całkowita wartość zamówienia dla ilości 5.000 szt.</w:t>
      </w:r>
    </w:p>
    <w:p w:rsidR="008155F9" w:rsidRDefault="008155F9" w:rsidP="008155F9">
      <w:pPr>
        <w:pStyle w:val="Akapitzlist"/>
        <w:shd w:val="clear" w:color="auto" w:fill="FFFFFF"/>
        <w:autoSpaceDN w:val="0"/>
        <w:spacing w:after="0" w:line="360" w:lineRule="auto"/>
        <w:ind w:left="1418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u w:val="single"/>
          <w:lang w:eastAsia="pl-PL"/>
        </w:rPr>
        <w:t>K</w:t>
      </w:r>
      <w:r w:rsidRPr="00F82B75">
        <w:rPr>
          <w:rFonts w:eastAsia="Times New Roman" w:cs="Times New Roman"/>
          <w:b/>
          <w:bCs/>
          <w:color w:val="000000"/>
          <w:u w:val="single"/>
          <w:lang w:eastAsia="pl-PL"/>
        </w:rPr>
        <w:t>omputer</w:t>
      </w:r>
      <w:r>
        <w:rPr>
          <w:rFonts w:eastAsia="Times New Roman" w:cs="Times New Roman"/>
          <w:b/>
          <w:bCs/>
          <w:color w:val="000000"/>
          <w:u w:val="single"/>
          <w:lang w:eastAsia="pl-PL"/>
        </w:rPr>
        <w:t xml:space="preserve"> (z klawiaturą i myszką)</w:t>
      </w:r>
      <w:r w:rsidRPr="00F82B75">
        <w:rPr>
          <w:rFonts w:eastAsia="Times New Roman" w:cs="Times New Roman"/>
          <w:b/>
          <w:bCs/>
          <w:color w:val="000000"/>
          <w:u w:val="single"/>
          <w:lang w:eastAsia="pl-PL"/>
        </w:rPr>
        <w:t>:</w:t>
      </w:r>
      <w:r>
        <w:rPr>
          <w:rFonts w:eastAsia="Times New Roman" w:cs="Times New Roman"/>
          <w:color w:val="000000"/>
          <w:lang w:eastAsia="pl-PL"/>
        </w:rPr>
        <w:t xml:space="preserve"> wartość </w:t>
      </w:r>
      <w:r w:rsidRPr="00D00DBC">
        <w:rPr>
          <w:rFonts w:eastAsia="Times New Roman" w:cs="Times New Roman"/>
          <w:color w:val="000000"/>
          <w:lang w:eastAsia="pl-PL"/>
        </w:rPr>
        <w:t>brutto</w:t>
      </w:r>
      <w:r>
        <w:rPr>
          <w:rFonts w:eastAsia="Times New Roman" w:cs="Times New Roman"/>
          <w:color w:val="000000"/>
          <w:lang w:eastAsia="pl-PL"/>
        </w:rPr>
        <w:t xml:space="preserve"> ………</w:t>
      </w:r>
      <w:r w:rsidRPr="00D00DBC">
        <w:rPr>
          <w:rFonts w:eastAsia="Times New Roman" w:cs="Times New Roman"/>
          <w:color w:val="000000"/>
          <w:lang w:eastAsia="pl-PL"/>
        </w:rPr>
        <w:t>……</w:t>
      </w:r>
      <w:r>
        <w:rPr>
          <w:rFonts w:eastAsia="Times New Roman" w:cs="Times New Roman"/>
          <w:color w:val="000000"/>
          <w:lang w:eastAsia="pl-PL"/>
        </w:rPr>
        <w:t>………</w:t>
      </w:r>
      <w:r w:rsidRPr="00D00DBC">
        <w:rPr>
          <w:rFonts w:eastAsia="Times New Roman" w:cs="Times New Roman"/>
          <w:color w:val="000000"/>
          <w:lang w:eastAsia="pl-PL"/>
        </w:rPr>
        <w:t>…………..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Pr="00D00DBC">
        <w:rPr>
          <w:rFonts w:eastAsia="Times New Roman" w:cs="Times New Roman"/>
          <w:color w:val="000000"/>
          <w:lang w:eastAsia="pl-PL"/>
        </w:rPr>
        <w:t xml:space="preserve">PLN, </w:t>
      </w:r>
      <w:r>
        <w:rPr>
          <w:rFonts w:eastAsia="Times New Roman" w:cs="Times New Roman"/>
          <w:color w:val="000000"/>
          <w:lang w:eastAsia="pl-PL"/>
        </w:rPr>
        <w:t>(cena jednostkowa brutto…………….….. PLN);</w:t>
      </w:r>
    </w:p>
    <w:p w:rsidR="008155F9" w:rsidRDefault="008155F9" w:rsidP="008155F9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Producent: ………………………………………………</w:t>
      </w:r>
    </w:p>
    <w:p w:rsidR="008155F9" w:rsidRDefault="008155F9" w:rsidP="008155F9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Model: …………………………………………………….</w:t>
      </w:r>
    </w:p>
    <w:p w:rsidR="008155F9" w:rsidRDefault="008155F9" w:rsidP="006449F0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b/>
          <w:bCs/>
          <w:color w:val="000000"/>
          <w:u w:val="single"/>
          <w:lang w:eastAsia="pl-PL"/>
        </w:rPr>
      </w:pPr>
    </w:p>
    <w:p w:rsidR="006449F0" w:rsidRDefault="006449F0" w:rsidP="006449F0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 w:rsidRPr="00F82B75">
        <w:rPr>
          <w:rFonts w:eastAsia="Times New Roman" w:cs="Times New Roman"/>
          <w:b/>
          <w:bCs/>
          <w:color w:val="000000"/>
          <w:u w:val="single"/>
          <w:lang w:eastAsia="pl-PL"/>
        </w:rPr>
        <w:t>Monitor:</w:t>
      </w:r>
      <w:r>
        <w:rPr>
          <w:rFonts w:eastAsia="Times New Roman" w:cs="Times New Roman"/>
          <w:color w:val="000000"/>
          <w:lang w:eastAsia="pl-PL"/>
        </w:rPr>
        <w:t xml:space="preserve"> wartość </w:t>
      </w:r>
      <w:r w:rsidRPr="00D00DBC">
        <w:rPr>
          <w:rFonts w:eastAsia="Times New Roman" w:cs="Times New Roman"/>
          <w:color w:val="000000"/>
          <w:lang w:eastAsia="pl-PL"/>
        </w:rPr>
        <w:t>brutto</w:t>
      </w:r>
      <w:r>
        <w:rPr>
          <w:rFonts w:eastAsia="Times New Roman" w:cs="Times New Roman"/>
          <w:color w:val="000000"/>
          <w:lang w:eastAsia="pl-PL"/>
        </w:rPr>
        <w:t xml:space="preserve"> ………</w:t>
      </w:r>
      <w:r w:rsidRPr="00D00DBC">
        <w:rPr>
          <w:rFonts w:eastAsia="Times New Roman" w:cs="Times New Roman"/>
          <w:color w:val="000000"/>
          <w:lang w:eastAsia="pl-PL"/>
        </w:rPr>
        <w:t>……</w:t>
      </w:r>
      <w:r>
        <w:rPr>
          <w:rFonts w:eastAsia="Times New Roman" w:cs="Times New Roman"/>
          <w:color w:val="000000"/>
          <w:lang w:eastAsia="pl-PL"/>
        </w:rPr>
        <w:t>…</w:t>
      </w:r>
      <w:r w:rsidRPr="00D00DBC">
        <w:rPr>
          <w:rFonts w:eastAsia="Times New Roman" w:cs="Times New Roman"/>
          <w:color w:val="000000"/>
          <w:lang w:eastAsia="pl-PL"/>
        </w:rPr>
        <w:t>…………..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Pr="00D00DBC">
        <w:rPr>
          <w:rFonts w:eastAsia="Times New Roman" w:cs="Times New Roman"/>
          <w:color w:val="000000"/>
          <w:lang w:eastAsia="pl-PL"/>
        </w:rPr>
        <w:t>PLN,</w:t>
      </w:r>
    </w:p>
    <w:p w:rsidR="006449F0" w:rsidRDefault="006449F0" w:rsidP="006449F0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(cena jednostkowa brutto…………….. PLN);</w:t>
      </w:r>
    </w:p>
    <w:p w:rsidR="006449F0" w:rsidRDefault="006449F0" w:rsidP="006449F0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Producent: ………………………………………………</w:t>
      </w:r>
    </w:p>
    <w:p w:rsidR="006449F0" w:rsidRDefault="006449F0" w:rsidP="006449F0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Model: …………………………………………………….</w:t>
      </w:r>
    </w:p>
    <w:p w:rsidR="006449F0" w:rsidRDefault="006449F0" w:rsidP="00F82B75">
      <w:pPr>
        <w:pStyle w:val="Akapitzlist"/>
        <w:shd w:val="clear" w:color="auto" w:fill="FFFFFF"/>
        <w:autoSpaceDN w:val="0"/>
        <w:spacing w:after="0" w:line="360" w:lineRule="auto"/>
        <w:ind w:left="1701" w:hanging="283"/>
        <w:contextualSpacing w:val="0"/>
        <w:rPr>
          <w:rFonts w:eastAsia="Times New Roman" w:cs="Times New Roman"/>
          <w:color w:val="000000"/>
          <w:lang w:eastAsia="pl-PL"/>
        </w:rPr>
      </w:pPr>
    </w:p>
    <w:p w:rsidR="002A1586" w:rsidRDefault="002A1586" w:rsidP="002A1586">
      <w:pPr>
        <w:pStyle w:val="Akapitzlist"/>
        <w:shd w:val="clear" w:color="auto" w:fill="FFFFFF"/>
        <w:autoSpaceDN w:val="0"/>
        <w:spacing w:after="0" w:line="360" w:lineRule="auto"/>
        <w:ind w:left="1701" w:hanging="850"/>
        <w:contextualSpacing w:val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Powyższe ceny:</w:t>
      </w:r>
    </w:p>
    <w:p w:rsidR="002A1586" w:rsidRPr="002A1586" w:rsidRDefault="002A1586" w:rsidP="006248CC">
      <w:pPr>
        <w:pStyle w:val="Default"/>
        <w:numPr>
          <w:ilvl w:val="1"/>
          <w:numId w:val="1"/>
        </w:numPr>
        <w:shd w:val="clear" w:color="auto" w:fill="FFFFFF"/>
        <w:adjustRightInd/>
        <w:spacing w:line="360" w:lineRule="auto"/>
        <w:jc w:val="both"/>
        <w:rPr>
          <w:rFonts w:eastAsia="Times New Roman"/>
          <w:lang w:eastAsia="pl-PL"/>
        </w:rPr>
      </w:pPr>
      <w:r w:rsidRPr="002A1586">
        <w:rPr>
          <w:rFonts w:asciiTheme="minorHAnsi" w:eastAsia="Times New Roman" w:hAnsiTheme="minorHAnsi"/>
          <w:sz w:val="22"/>
          <w:szCs w:val="22"/>
          <w:lang w:eastAsia="pl-PL"/>
        </w:rPr>
        <w:t>zawierają upusty na poz</w:t>
      </w:r>
      <w:r>
        <w:rPr>
          <w:rFonts w:asciiTheme="minorHAnsi" w:eastAsia="Times New Roman" w:hAnsiTheme="minorHAnsi"/>
          <w:sz w:val="22"/>
          <w:szCs w:val="22"/>
          <w:lang w:eastAsia="pl-PL"/>
        </w:rPr>
        <w:t>iome ….% od „cen katalogowych”</w:t>
      </w:r>
    </w:p>
    <w:p w:rsidR="003C3959" w:rsidRPr="002A1586" w:rsidRDefault="002A1586" w:rsidP="006248CC">
      <w:pPr>
        <w:pStyle w:val="Default"/>
        <w:numPr>
          <w:ilvl w:val="1"/>
          <w:numId w:val="1"/>
        </w:numPr>
        <w:shd w:val="clear" w:color="auto" w:fill="FFFFFF"/>
        <w:adjustRightInd/>
        <w:spacing w:line="360" w:lineRule="auto"/>
        <w:jc w:val="both"/>
        <w:rPr>
          <w:rFonts w:eastAsia="Times New Roman"/>
          <w:lang w:eastAsia="pl-PL"/>
        </w:rPr>
      </w:pPr>
      <w:r w:rsidRPr="002A1586">
        <w:rPr>
          <w:rFonts w:eastAsia="Times New Roman"/>
          <w:sz w:val="22"/>
          <w:szCs w:val="22"/>
          <w:lang w:eastAsia="pl-PL"/>
        </w:rPr>
        <w:t>nie zawierają upustów od „cen katalogowych” i ZUS może uzyskać upust na poziome ….% od poniżej przedstawionych kosztów.</w:t>
      </w:r>
    </w:p>
    <w:p w:rsidR="00975F9B" w:rsidRDefault="00975F9B" w:rsidP="00A87900">
      <w:pPr>
        <w:pStyle w:val="Akapitzlist"/>
        <w:numPr>
          <w:ilvl w:val="0"/>
          <w:numId w:val="2"/>
        </w:numPr>
        <w:shd w:val="clear" w:color="auto" w:fill="FFFFFF"/>
        <w:spacing w:before="360" w:after="100" w:afterAutospacing="1"/>
        <w:ind w:left="714" w:hanging="357"/>
        <w:contextualSpacing w:val="0"/>
        <w:rPr>
          <w:b/>
          <w:bCs/>
          <w:lang w:eastAsia="pl-PL"/>
        </w:rPr>
      </w:pPr>
      <w:r w:rsidRPr="00975F9B">
        <w:rPr>
          <w:b/>
          <w:bCs/>
          <w:lang w:eastAsia="pl-PL"/>
        </w:rPr>
        <w:t xml:space="preserve">Opis przedmiotu </w:t>
      </w:r>
      <w:r w:rsidR="00DE770F">
        <w:rPr>
          <w:b/>
          <w:bCs/>
          <w:lang w:eastAsia="pl-PL"/>
        </w:rPr>
        <w:t>zamówienia</w:t>
      </w:r>
    </w:p>
    <w:p w:rsidR="00EE7C6E" w:rsidRDefault="003D71A9" w:rsidP="00EE7C6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Sprzęt musi</w:t>
      </w:r>
      <w:r w:rsidR="00014BEC">
        <w:rPr>
          <w:rFonts w:ascii="Calibri" w:hAnsi="Calibri"/>
        </w:rPr>
        <w:t xml:space="preserve"> posiadać minimum 60</w:t>
      </w:r>
      <w:r w:rsidR="00EE7C6E" w:rsidRPr="008F7427">
        <w:rPr>
          <w:rFonts w:ascii="Calibri" w:hAnsi="Calibri"/>
        </w:rPr>
        <w:t xml:space="preserve"> miesięczną gwarancję.</w:t>
      </w:r>
      <w:r w:rsidRPr="003D71A9">
        <w:t xml:space="preserve"> </w:t>
      </w:r>
      <w:r w:rsidR="00A87900">
        <w:t>N</w:t>
      </w:r>
      <w:r w:rsidRPr="003D71A9">
        <w:rPr>
          <w:rFonts w:ascii="Calibri" w:hAnsi="Calibri"/>
        </w:rPr>
        <w:t>apraw</w:t>
      </w:r>
      <w:r w:rsidR="00A87900">
        <w:rPr>
          <w:rFonts w:ascii="Calibri" w:hAnsi="Calibri"/>
        </w:rPr>
        <w:t>y</w:t>
      </w:r>
      <w:r w:rsidR="00014BEC">
        <w:rPr>
          <w:rFonts w:ascii="Calibri" w:hAnsi="Calibri"/>
        </w:rPr>
        <w:t xml:space="preserve"> gwarancyjne</w:t>
      </w:r>
      <w:r w:rsidR="00AF437B">
        <w:rPr>
          <w:rFonts w:ascii="Calibri" w:hAnsi="Calibri"/>
        </w:rPr>
        <w:t xml:space="preserve"> w lokalizacjach u</w:t>
      </w:r>
      <w:r w:rsidRPr="003D71A9">
        <w:rPr>
          <w:rFonts w:ascii="Calibri" w:hAnsi="Calibri"/>
        </w:rPr>
        <w:t>żytkowników (jednost</w:t>
      </w:r>
      <w:r w:rsidR="00FE7027">
        <w:rPr>
          <w:rFonts w:ascii="Calibri" w:hAnsi="Calibri"/>
        </w:rPr>
        <w:t>kach</w:t>
      </w:r>
      <w:r w:rsidRPr="003D71A9">
        <w:rPr>
          <w:rFonts w:ascii="Calibri" w:hAnsi="Calibri"/>
        </w:rPr>
        <w:t xml:space="preserve"> organizacyjnych ZUS) na terenie całego kraju, w terminie kolejnych 24 (dwadzieścia cztery) godzin roboczych </w:t>
      </w:r>
      <w:r w:rsidR="00A87900">
        <w:rPr>
          <w:rFonts w:ascii="Calibri" w:hAnsi="Calibri"/>
        </w:rPr>
        <w:t>Zamawiającego</w:t>
      </w:r>
      <w:r w:rsidRPr="003D71A9">
        <w:rPr>
          <w:rFonts w:ascii="Calibri" w:hAnsi="Calibri"/>
        </w:rPr>
        <w:t xml:space="preserve"> od daty zgłoszenia gwarancyjnego</w:t>
      </w:r>
      <w:r w:rsidR="00A87900">
        <w:rPr>
          <w:rFonts w:ascii="Calibri" w:hAnsi="Calibri"/>
        </w:rPr>
        <w:t xml:space="preserve">. </w:t>
      </w:r>
      <w:r w:rsidR="00A87900" w:rsidRPr="00A87900">
        <w:rPr>
          <w:rFonts w:ascii="Calibri" w:hAnsi="Calibri"/>
        </w:rPr>
        <w:t>W przypadku uszkodzenia dysku twardego i konieczności jego wymiany w okresie gwarancji na egzemplarz wolny od wad, uszkodzony nośnik pozostaje u Zamawiającego. Zamawiający nie ponosi żadnych dodatkowych kosztów związanych z wymianą dysku.</w:t>
      </w:r>
    </w:p>
    <w:p w:rsidR="008155F9" w:rsidRDefault="008155F9" w:rsidP="00EE7C6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155F9">
        <w:rPr>
          <w:rFonts w:ascii="Calibri" w:hAnsi="Calibri"/>
        </w:rPr>
        <w:t>Miejsce dostawy – Centrala Zakładu i 43 Oddziały na terenie całego kraju.</w:t>
      </w:r>
    </w:p>
    <w:p w:rsidR="003D71A9" w:rsidRPr="003D71A9" w:rsidRDefault="003D71A9" w:rsidP="003D71A9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3D71A9">
        <w:rPr>
          <w:rFonts w:ascii="Calibri" w:hAnsi="Calibri"/>
        </w:rPr>
        <w:t xml:space="preserve">Wszystkie zaoferowane urządzenia, tj. jednostki centralne, </w:t>
      </w:r>
      <w:r w:rsidR="00237997">
        <w:rPr>
          <w:rFonts w:ascii="Calibri" w:hAnsi="Calibri"/>
        </w:rPr>
        <w:t xml:space="preserve">monitory </w:t>
      </w:r>
      <w:r w:rsidRPr="003D71A9">
        <w:rPr>
          <w:rFonts w:ascii="Calibri" w:hAnsi="Calibri"/>
        </w:rPr>
        <w:t>klawiatury i myszy muszą być oznaczone znakiem CE, posiadać certyfikat CE lub deklarację zgodności CE.</w:t>
      </w:r>
    </w:p>
    <w:p w:rsidR="003D71A9" w:rsidRDefault="003D71A9" w:rsidP="003D71A9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3D71A9">
        <w:rPr>
          <w:rFonts w:ascii="Calibri" w:hAnsi="Calibri"/>
        </w:rPr>
        <w:t>Zaoferowane urządzenia muszą spełniać wymagania dotyczące efektywności energetycznej, co najmniej równoważnej ze specyfikacjami programu Energy Star – Rozporządzenie Parlamentu Europejskiego i Rady Europy (WE) nr 106/2008 z dnia 15 stycznia 2008 r.</w:t>
      </w:r>
    </w:p>
    <w:p w:rsidR="00EC3AE4" w:rsidRDefault="00EC3AE4">
      <w:pPr>
        <w:rPr>
          <w:b/>
          <w:bCs/>
          <w:lang w:eastAsia="pl-PL"/>
        </w:rPr>
      </w:pPr>
      <w:r>
        <w:rPr>
          <w:b/>
          <w:bCs/>
          <w:lang w:eastAsia="pl-PL"/>
        </w:rPr>
        <w:br w:type="page"/>
      </w:r>
    </w:p>
    <w:p w:rsidR="00EC3AE4" w:rsidRDefault="00EC3AE4" w:rsidP="00EC3AE4">
      <w:pPr>
        <w:pStyle w:val="Akapitzlist"/>
        <w:numPr>
          <w:ilvl w:val="0"/>
          <w:numId w:val="2"/>
        </w:numPr>
        <w:shd w:val="clear" w:color="auto" w:fill="FFFFFF"/>
        <w:spacing w:before="360" w:after="100" w:afterAutospacing="1"/>
        <w:rPr>
          <w:b/>
          <w:bCs/>
          <w:lang w:eastAsia="pl-PL"/>
        </w:rPr>
        <w:sectPr w:rsidR="00EC3AE4" w:rsidSect="007567FB">
          <w:pgSz w:w="11906" w:h="16838"/>
          <w:pgMar w:top="993" w:right="1133" w:bottom="709" w:left="1134" w:header="708" w:footer="708" w:gutter="0"/>
          <w:cols w:space="708"/>
          <w:docGrid w:linePitch="360"/>
        </w:sectPr>
      </w:pPr>
    </w:p>
    <w:p w:rsidR="008155F9" w:rsidRPr="00237997" w:rsidRDefault="000B2AD3" w:rsidP="000B2AD3">
      <w:pPr>
        <w:pStyle w:val="Akapitzlist"/>
        <w:shd w:val="clear" w:color="auto" w:fill="FFFFFF"/>
        <w:spacing w:before="360" w:after="100" w:afterAutospacing="1"/>
        <w:jc w:val="right"/>
        <w:rPr>
          <w:b/>
          <w:bCs/>
          <w:lang w:eastAsia="pl-PL"/>
        </w:rPr>
      </w:pPr>
      <w:r>
        <w:rPr>
          <w:b/>
          <w:bCs/>
          <w:lang w:eastAsia="pl-PL"/>
        </w:rPr>
        <w:t>Załącznik – Specyfikacja techniczna sprzętu</w:t>
      </w:r>
    </w:p>
    <w:p w:rsidR="00C40201" w:rsidRPr="003E0020" w:rsidRDefault="008155F9" w:rsidP="003E002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8"/>
          <w:szCs w:val="28"/>
        </w:rPr>
      </w:pPr>
      <w:r w:rsidRPr="003E0020">
        <w:rPr>
          <w:rFonts w:ascii="Calibri" w:hAnsi="Calibri"/>
          <w:b/>
          <w:sz w:val="28"/>
          <w:szCs w:val="28"/>
        </w:rPr>
        <w:t>Zestaw – Wariant A</w:t>
      </w:r>
    </w:p>
    <w:p w:rsidR="003E0020" w:rsidRPr="000B2AD3" w:rsidRDefault="003E0020" w:rsidP="000B2AD3">
      <w:pPr>
        <w:pStyle w:val="Akapitzlist"/>
        <w:shd w:val="clear" w:color="auto" w:fill="FFFFFF"/>
        <w:spacing w:before="360" w:after="100" w:afterAutospacing="1"/>
        <w:ind w:left="0"/>
        <w:rPr>
          <w:b/>
          <w:bCs/>
          <w:lang w:eastAsia="pl-PL"/>
        </w:rPr>
      </w:pPr>
      <w:r w:rsidRPr="00237997">
        <w:rPr>
          <w:b/>
          <w:bCs/>
          <w:lang w:eastAsia="pl-PL"/>
        </w:rPr>
        <w:t xml:space="preserve">Szczegółowa specyfikacja techniczna </w:t>
      </w:r>
      <w:r>
        <w:rPr>
          <w:b/>
          <w:bCs/>
          <w:lang w:eastAsia="pl-PL"/>
        </w:rPr>
        <w:t>komputerów</w:t>
      </w:r>
    </w:p>
    <w:tbl>
      <w:tblPr>
        <w:tblStyle w:val="Tabela-Siatka"/>
        <w:tblW w:w="143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1777"/>
      </w:tblGrid>
      <w:tr w:rsidR="00EC3AE4" w:rsidTr="00984B4C">
        <w:trPr>
          <w:trHeight w:val="490"/>
        </w:trPr>
        <w:tc>
          <w:tcPr>
            <w:tcW w:w="486" w:type="dxa"/>
            <w:shd w:val="pct5" w:color="000000" w:fill="auto"/>
            <w:vAlign w:val="center"/>
          </w:tcPr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6" w:type="dxa"/>
            <w:shd w:val="pct5" w:color="000000" w:fill="auto"/>
            <w:vAlign w:val="center"/>
          </w:tcPr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11777" w:type="dxa"/>
            <w:shd w:val="pct5" w:color="000000" w:fill="auto"/>
            <w:vAlign w:val="center"/>
          </w:tcPr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minimalne parametry techniczne</w:t>
            </w:r>
          </w:p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 wyjątkiem tych, przy których wskazano wartość maksymalną bądź zakres)</w:t>
            </w:r>
          </w:p>
        </w:tc>
      </w:tr>
      <w:tr w:rsidR="00EC3AE4" w:rsidTr="00984B4C">
        <w:tc>
          <w:tcPr>
            <w:tcW w:w="48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Procesor </w:t>
            </w: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 w:after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Wielordzeniowy, zgodny z architekturą x86-64, obsługujący 64 bitowe instrukcje, umożliwiający uzyskanie w teście wydajnościowym minimum 5500 pkt. (kolumna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Passmark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CPU Mark) w benchmarku CPU dostępnym, na stronie: </w:t>
            </w:r>
          </w:p>
          <w:p w:rsidR="00EC3AE4" w:rsidRDefault="00313091" w:rsidP="00984B4C">
            <w:pPr>
              <w:pStyle w:val="Default"/>
              <w:spacing w:before="120" w:after="120"/>
              <w:rPr>
                <w:rStyle w:val="Hipercze"/>
                <w:sz w:val="22"/>
                <w:szCs w:val="22"/>
              </w:rPr>
            </w:pPr>
            <w:hyperlink r:id="rId12">
              <w:r w:rsidR="00EC3AE4">
                <w:rPr>
                  <w:rStyle w:val="Hipercze"/>
                  <w:sz w:val="22"/>
                  <w:szCs w:val="22"/>
                </w:rPr>
                <w:t>https://www.cpubenchmark.net/cpu_list.php</w:t>
              </w:r>
            </w:hyperlink>
          </w:p>
          <w:p w:rsidR="00EC3AE4" w:rsidRPr="00525519" w:rsidRDefault="00EC3AE4" w:rsidP="00984B4C">
            <w:pPr>
              <w:pStyle w:val="Default"/>
              <w:spacing w:before="120" w:after="120"/>
              <w:rPr>
                <w:rFonts w:ascii="Calibri" w:eastAsia="Calibri" w:hAnsi="Calibri"/>
                <w:sz w:val="20"/>
                <w:szCs w:val="20"/>
              </w:rPr>
            </w:pPr>
            <w:r w:rsidRPr="00EC3AE4">
              <w:rPr>
                <w:rFonts w:ascii="Calibri" w:eastAsia="Calibri" w:hAnsi="Calibri"/>
                <w:sz w:val="20"/>
                <w:szCs w:val="20"/>
              </w:rPr>
              <w:t>Procesor powinien pochodzić z linii produkcyjnej z II kw. 2018 r. lub nowszej.</w:t>
            </w:r>
          </w:p>
        </w:tc>
      </w:tr>
      <w:tr w:rsidR="00EC3AE4" w:rsidTr="00984B4C">
        <w:tc>
          <w:tcPr>
            <w:tcW w:w="48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EC3AE4" w:rsidRPr="003E0020" w:rsidRDefault="00EC3AE4" w:rsidP="003E0020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Pamięć masowa SSD</w:t>
            </w:r>
          </w:p>
        </w:tc>
        <w:tc>
          <w:tcPr>
            <w:tcW w:w="11777" w:type="dxa"/>
          </w:tcPr>
          <w:p w:rsidR="00EC3AE4" w:rsidRDefault="003B220B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Minimum 512</w:t>
            </w:r>
            <w:r w:rsidR="00EC3AE4">
              <w:rPr>
                <w:rFonts w:ascii="Calibri" w:eastAsia="Calibri" w:hAnsi="Calibri"/>
                <w:sz w:val="20"/>
                <w:szCs w:val="20"/>
              </w:rPr>
              <w:t xml:space="preserve"> GB SSD SATA III, </w:t>
            </w:r>
            <w:r w:rsidR="00EC3AE4" w:rsidRPr="00EC3AE4">
              <w:rPr>
                <w:rFonts w:ascii="Calibri" w:eastAsia="Calibri" w:hAnsi="Calibri"/>
                <w:sz w:val="20"/>
                <w:szCs w:val="20"/>
              </w:rPr>
              <w:t>szybkość odczytu I zapisu nie niższa niż 480MB/s</w:t>
            </w:r>
          </w:p>
        </w:tc>
      </w:tr>
      <w:tr w:rsidR="00EC3AE4" w:rsidRPr="00F82B75" w:rsidTr="00984B4C">
        <w:tc>
          <w:tcPr>
            <w:tcW w:w="48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EC3AE4" w:rsidRPr="003E0020" w:rsidRDefault="00EC3AE4" w:rsidP="003E0020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Pamięć operacyjna RAM </w:t>
            </w:r>
          </w:p>
        </w:tc>
        <w:tc>
          <w:tcPr>
            <w:tcW w:w="11777" w:type="dxa"/>
          </w:tcPr>
          <w:p w:rsidR="00EC3AE4" w:rsidRP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EC3AE4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Minimum 8 GB </w:t>
            </w:r>
            <w:proofErr w:type="spellStart"/>
            <w:r w:rsidRPr="00EC3AE4">
              <w:rPr>
                <w:rFonts w:ascii="Calibri" w:eastAsia="Calibri" w:hAnsi="Calibri"/>
                <w:sz w:val="20"/>
                <w:szCs w:val="20"/>
                <w:lang w:val="en-US"/>
              </w:rPr>
              <w:t>typ</w:t>
            </w:r>
            <w:proofErr w:type="spellEnd"/>
            <w:r w:rsidRPr="00EC3AE4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DDR4 (1x8GB) </w:t>
            </w:r>
          </w:p>
        </w:tc>
      </w:tr>
      <w:tr w:rsidR="00EC3AE4" w:rsidTr="003E0020">
        <w:trPr>
          <w:trHeight w:val="533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2066" w:type="dxa"/>
            <w:vMerge w:val="restart"/>
          </w:tcPr>
          <w:p w:rsidR="00EC3AE4" w:rsidRPr="003E0020" w:rsidRDefault="00EC3AE4" w:rsidP="003E0020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Karta graficzna </w:t>
            </w:r>
          </w:p>
        </w:tc>
        <w:tc>
          <w:tcPr>
            <w:tcW w:w="11777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Zintegrowana z procesorem, zgodna sprzętowo i programowo z DirectX 12, umożliwiająca pracę dwumonitorową.</w:t>
            </w:r>
          </w:p>
        </w:tc>
      </w:tr>
      <w:tr w:rsidR="00EC3AE4" w:rsidTr="00984B4C">
        <w:trPr>
          <w:trHeight w:val="1465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i rodzaj portów: </w:t>
            </w:r>
          </w:p>
          <w:p w:rsidR="00EC3AE4" w:rsidRDefault="00EC3AE4" w:rsidP="00EC3AE4">
            <w:pPr>
              <w:pStyle w:val="Default"/>
              <w:numPr>
                <w:ilvl w:val="0"/>
                <w:numId w:val="58"/>
              </w:numPr>
              <w:adjustRightInd/>
              <w:spacing w:before="120"/>
              <w:ind w:left="36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DVI – min.1 szt.</w:t>
            </w:r>
          </w:p>
          <w:p w:rsidR="00EC3AE4" w:rsidRPr="003E0020" w:rsidRDefault="00EC3AE4" w:rsidP="00984B4C">
            <w:pPr>
              <w:pStyle w:val="Default"/>
              <w:numPr>
                <w:ilvl w:val="0"/>
                <w:numId w:val="58"/>
              </w:numPr>
              <w:adjustRightInd/>
              <w:spacing w:before="120"/>
              <w:ind w:left="36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HDMI – min.1 szt.</w:t>
            </w:r>
          </w:p>
        </w:tc>
      </w:tr>
      <w:tr w:rsidR="00EC3AE4" w:rsidTr="00984B4C">
        <w:tc>
          <w:tcPr>
            <w:tcW w:w="48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Napęd optyczny </w:t>
            </w: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Brak</w:t>
            </w:r>
          </w:p>
        </w:tc>
      </w:tr>
      <w:tr w:rsidR="00EC3AE4" w:rsidTr="003E0020">
        <w:trPr>
          <w:trHeight w:val="467"/>
        </w:trPr>
        <w:tc>
          <w:tcPr>
            <w:tcW w:w="48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EC3AE4" w:rsidRPr="003E0020" w:rsidRDefault="00EC3AE4" w:rsidP="003E0020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Multimedia</w:t>
            </w:r>
          </w:p>
        </w:tc>
        <w:tc>
          <w:tcPr>
            <w:tcW w:w="11777" w:type="dxa"/>
          </w:tcPr>
          <w:p w:rsidR="00EC3AE4" w:rsidRDefault="00EC3AE4" w:rsidP="003E0020">
            <w:pPr>
              <w:pStyle w:val="Default"/>
              <w:spacing w:before="120"/>
              <w:ind w:left="-43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Karta dźwiękowa zintegrowana z płytą główną komputera, zgodna z High Definition (HD) Audio</w:t>
            </w:r>
          </w:p>
        </w:tc>
      </w:tr>
      <w:tr w:rsidR="00EC3AE4" w:rsidTr="00984B4C">
        <w:tc>
          <w:tcPr>
            <w:tcW w:w="486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EC3AE4" w:rsidRDefault="00EC3AE4" w:rsidP="00984B4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Czytnik kart elektronicznych</w:t>
            </w:r>
          </w:p>
        </w:tc>
        <w:tc>
          <w:tcPr>
            <w:tcW w:w="11777" w:type="dxa"/>
            <w:vAlign w:val="center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Zgodny z normą ISO 7816 oraz standardem określonym przez specyfikację PC/SC. Czytnik obsługuje posiadane przez Zamawiającego karty </w:t>
            </w:r>
            <w:proofErr w:type="spellStart"/>
            <w:r>
              <w:rPr>
                <w:sz w:val="20"/>
                <w:szCs w:val="20"/>
              </w:rPr>
              <w:t>Starcos</w:t>
            </w:r>
            <w:proofErr w:type="spellEnd"/>
            <w:r>
              <w:rPr>
                <w:sz w:val="20"/>
                <w:szCs w:val="20"/>
              </w:rPr>
              <w:t xml:space="preserve"> 3.2. Czytnik ma być zamontowany w obudowie komputera lub w klawiaturze w pozycji poziomej.</w:t>
            </w:r>
          </w:p>
        </w:tc>
      </w:tr>
      <w:tr w:rsidR="00EC3AE4" w:rsidTr="003E0020">
        <w:trPr>
          <w:trHeight w:val="1123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  <w:tc>
          <w:tcPr>
            <w:tcW w:w="206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Wymagania dodatkowe </w:t>
            </w:r>
          </w:p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(wymagania nie mogą być spełnione poprzez zastosowanie adapterów)</w:t>
            </w:r>
          </w:p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Karta sieciowa LAN 10/100/1000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Mb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/s Ethernet RJ 45 ze wsparciem PXE, zintegrowana z płytą główną, </w:t>
            </w:r>
            <w:r w:rsidRPr="00EC3AE4">
              <w:rPr>
                <w:rFonts w:ascii="Calibri" w:eastAsia="Calibri" w:hAnsi="Calibri"/>
                <w:sz w:val="20"/>
                <w:szCs w:val="20"/>
              </w:rPr>
              <w:t xml:space="preserve">obsługa </w:t>
            </w:r>
            <w:proofErr w:type="spellStart"/>
            <w:r w:rsidRPr="00EC3AE4">
              <w:rPr>
                <w:rFonts w:ascii="Calibri" w:eastAsia="Calibri" w:hAnsi="Calibri"/>
                <w:sz w:val="20"/>
                <w:szCs w:val="20"/>
              </w:rPr>
              <w:t>WoL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</w:tr>
      <w:tr w:rsidR="00EC3AE4" w:rsidTr="00984B4C">
        <w:trPr>
          <w:trHeight w:val="1506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Porty i złącza:</w:t>
            </w:r>
          </w:p>
          <w:p w:rsidR="00EC3AE4" w:rsidRDefault="00EC3AE4" w:rsidP="00EC3AE4">
            <w:pPr>
              <w:pStyle w:val="Default"/>
              <w:numPr>
                <w:ilvl w:val="0"/>
                <w:numId w:val="59"/>
              </w:numPr>
              <w:adjustRightInd/>
              <w:spacing w:before="120"/>
              <w:ind w:left="714" w:hanging="35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minimum 6 portów USB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Type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-A w tym minimum dwa porty USB 3.0 lub wyższy</w:t>
            </w:r>
          </w:p>
          <w:p w:rsidR="00EC3AE4" w:rsidRDefault="00EC3AE4" w:rsidP="00EC3AE4">
            <w:pPr>
              <w:pStyle w:val="Default"/>
              <w:numPr>
                <w:ilvl w:val="0"/>
                <w:numId w:val="59"/>
              </w:numPr>
              <w:adjustRightInd/>
              <w:spacing w:before="120"/>
              <w:ind w:left="714" w:hanging="35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Minimum 2 złącza DIMM</w:t>
            </w:r>
          </w:p>
        </w:tc>
      </w:tr>
      <w:tr w:rsidR="00EC3AE4" w:rsidTr="003E0020">
        <w:trPr>
          <w:trHeight w:val="591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Porty audio: wyjście słuchawek i wejście mikrofonowe (możliwe zastosowanie portu typu COMBO).</w:t>
            </w:r>
          </w:p>
        </w:tc>
      </w:tr>
      <w:tr w:rsidR="00EC3AE4" w:rsidTr="00984B4C">
        <w:trPr>
          <w:trHeight w:val="850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EC3AE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Klawiatura USB w układzie US – QWERTY polski programisty; długość przewodu min. 1,8 m; </w:t>
            </w:r>
            <w:r w:rsidRPr="00EC3AE4">
              <w:rPr>
                <w:rFonts w:ascii="Calibri" w:eastAsia="Calibri" w:hAnsi="Calibri"/>
                <w:sz w:val="20"/>
                <w:szCs w:val="20"/>
              </w:rPr>
              <w:t>klawiatura powinna mieć możliwość regulacji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EC3AE4">
              <w:rPr>
                <w:rFonts w:ascii="Calibri" w:eastAsia="Calibri" w:hAnsi="Calibri"/>
                <w:sz w:val="20"/>
                <w:szCs w:val="20"/>
              </w:rPr>
              <w:t xml:space="preserve"> zakres pochylenia minimum od 0° do 15°</w:t>
            </w:r>
          </w:p>
        </w:tc>
      </w:tr>
      <w:tr w:rsidR="00EC3AE4" w:rsidTr="00984B4C">
        <w:trPr>
          <w:trHeight w:val="654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Mysz optyczna USB, długość przewodu min. 1,8 m, z min dwoma klawiszami oraz rolką (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scroll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)  </w:t>
            </w:r>
          </w:p>
        </w:tc>
      </w:tr>
      <w:tr w:rsidR="00EC3AE4" w:rsidTr="00984B4C">
        <w:trPr>
          <w:trHeight w:val="1170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Podkładka pod </w:t>
            </w:r>
            <w:r>
              <w:rPr>
                <w:rFonts w:ascii="Calibri" w:eastAsia="Calibri" w:hAnsi="Calibri"/>
                <w:sz w:val="20"/>
                <w:szCs w:val="20"/>
              </w:rPr>
              <w:t>mysz</w:t>
            </w:r>
            <w:r w:rsidR="00DD5B57"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spód podkładki wykonany powinien być z powierzchni antypoślizgowej w taki sposób, aby uniemożliwić przypadkowe przesunięcie podkładki podczas korzystania z myszy komputerowej. Powinna działać z myszą optyczną jak i laserową.</w:t>
            </w:r>
          </w:p>
        </w:tc>
      </w:tr>
      <w:tr w:rsidR="00EC3AE4" w:rsidTr="00984B4C">
        <w:trPr>
          <w:trHeight w:val="1130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Komplet sterowników do systemu operacyjnego zainstalowanego na stacji roboczej dla wszystkich elementów wymagających sterowników, wchodzących w skład urządzenia, dołączony na nośniku optycznym w ilości 44 szt. Sterowniki powinny być kompatybilne z platformą Windows 10 64-bit lub systemem równoważnym</w:t>
            </w:r>
          </w:p>
        </w:tc>
      </w:tr>
      <w:tr w:rsidR="00EC3AE4" w:rsidTr="003E0020">
        <w:trPr>
          <w:trHeight w:val="683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Poziom hałasu stacji roboczej w trybie IDLE maksymalnie 27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dB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mierzony z pozycji operatora, zgodnie z </w:t>
            </w:r>
            <w:r>
              <w:rPr>
                <w:rFonts w:ascii="Calibri" w:eastAsia="Calibri" w:hAnsi="Calibri"/>
                <w:sz w:val="20"/>
                <w:szCs w:val="20"/>
              </w:rPr>
              <w:t>normą ISO 9296</w:t>
            </w:r>
            <w:r w:rsidR="00DD5B57">
              <w:rPr>
                <w:rFonts w:ascii="Calibri" w:eastAsia="Calibri" w:hAnsi="Calibri"/>
                <w:sz w:val="20"/>
                <w:szCs w:val="20"/>
              </w:rPr>
              <w:t xml:space="preserve"> lub równoważną</w:t>
            </w:r>
            <w:r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</w:tr>
      <w:tr w:rsidR="00EC3AE4" w:rsidTr="003E0020">
        <w:trPr>
          <w:trHeight w:val="707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206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Zgodność z systemami operacyjnymi i standardami </w:t>
            </w:r>
          </w:p>
          <w:p w:rsidR="00EC3AE4" w:rsidRDefault="00EC3AE4" w:rsidP="00984B4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Zainstalowana 64-bitowa wersja systemu operacyjnego Microsoft Windows 10 Professional PL lub równoważnego.</w:t>
            </w:r>
          </w:p>
        </w:tc>
      </w:tr>
      <w:tr w:rsidR="00EC3AE4" w:rsidTr="003E0020">
        <w:trPr>
          <w:trHeight w:val="702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Bezterminowa licencja na system Microsoft Windows 10 Professional lub równoważny w polskiej wersji językowej</w:t>
            </w:r>
          </w:p>
        </w:tc>
      </w:tr>
      <w:tr w:rsidR="00EC3AE4" w:rsidTr="00984B4C">
        <w:trPr>
          <w:trHeight w:val="561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206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BIOS</w:t>
            </w: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BIOS w standardzie UEFI min. v2.3.1 </w:t>
            </w:r>
          </w:p>
        </w:tc>
      </w:tr>
      <w:tr w:rsidR="00EC3AE4" w:rsidTr="00984B4C">
        <w:trPr>
          <w:trHeight w:val="938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Zawiera nieulotną informację z nazwą producenta, nazwą produktu, jego numerem seryjnym możliwym do odczytania z poziomu WMI, wersji BIOS, a także informację o: typie zainstalowanego procesora, ilości i typie pamięci RAM </w:t>
            </w:r>
          </w:p>
        </w:tc>
      </w:tr>
      <w:tr w:rsidR="00EC3AE4" w:rsidTr="003E0020">
        <w:trPr>
          <w:trHeight w:val="556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Informacja o dysku twardym: model </w:t>
            </w:r>
          </w:p>
        </w:tc>
      </w:tr>
      <w:tr w:rsidR="00EC3AE4" w:rsidTr="003E0020">
        <w:trPr>
          <w:trHeight w:val="834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Możliwość wyłączenia/włączenia: zintegrowanej karty sieciowej, portów USB z poziomu BIOS bez uruchamiania systemu operacyjnego z dysku twardego komputera lub innych, podłączonych do niego, urządzeń zewnętrznych </w:t>
            </w:r>
          </w:p>
        </w:tc>
      </w:tr>
      <w:tr w:rsidR="00EC3AE4" w:rsidTr="003E0020">
        <w:trPr>
          <w:trHeight w:val="844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Funkcja blokowania/odblokowania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boot-owania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 </w:t>
            </w:r>
          </w:p>
        </w:tc>
      </w:tr>
      <w:tr w:rsidR="00EC3AE4" w:rsidTr="00984B4C">
        <w:trPr>
          <w:trHeight w:val="1210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206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Bezpieczeństwo </w:t>
            </w:r>
          </w:p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BIOS w standardzie UEFI min. v2.3.1 posiada możliwość: </w:t>
            </w:r>
          </w:p>
          <w:p w:rsidR="00EC3AE4" w:rsidRDefault="00EC3AE4" w:rsidP="00EC3AE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Skonfigurowania hasła „Power On” oraz ustawienia hasła dostępu do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BIOSu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EC3AE4" w:rsidRDefault="00EC3AE4" w:rsidP="00EC3AE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Blokady/wyłączenia portów USB, karty sieciowej, </w:t>
            </w:r>
          </w:p>
          <w:p w:rsidR="00EC3AE4" w:rsidRDefault="00EC3AE4" w:rsidP="00EC3AE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Kontroli sekwencji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boot-ującej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</w:p>
          <w:p w:rsidR="00EC3AE4" w:rsidRDefault="00EC3AE4" w:rsidP="00EC3AE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Startu systemu z urządzenia USB, </w:t>
            </w:r>
          </w:p>
          <w:p w:rsidR="00EC3AE4" w:rsidRDefault="00EC3AE4" w:rsidP="00EC3AE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Funkcja blokowania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boot-owania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stacji roboczej z zewnętrznych urządzeń. </w:t>
            </w:r>
          </w:p>
        </w:tc>
      </w:tr>
      <w:tr w:rsidR="00EC3AE4" w:rsidTr="003E0020">
        <w:trPr>
          <w:trHeight w:val="679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Komputer </w:t>
            </w:r>
            <w:r w:rsidR="00DD5B57">
              <w:rPr>
                <w:rFonts w:ascii="Calibri" w:eastAsia="Calibri" w:hAnsi="Calibri"/>
                <w:sz w:val="20"/>
                <w:szCs w:val="20"/>
              </w:rPr>
              <w:t xml:space="preserve">musi </w:t>
            </w:r>
            <w:r>
              <w:rPr>
                <w:rFonts w:ascii="Calibri" w:eastAsia="Calibri" w:hAnsi="Calibri"/>
                <w:sz w:val="20"/>
                <w:szCs w:val="20"/>
              </w:rPr>
              <w:t>posiada</w:t>
            </w:r>
            <w:r w:rsidR="00DD5B57">
              <w:rPr>
                <w:rFonts w:ascii="Calibri" w:eastAsia="Calibri" w:hAnsi="Calibri"/>
                <w:sz w:val="20"/>
                <w:szCs w:val="20"/>
              </w:rPr>
              <w:t>ć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zintegrowany w płycie głównej aktywny układ zgodny ze standardem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Trusted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Platform Module min. v2.0. </w:t>
            </w:r>
          </w:p>
        </w:tc>
      </w:tr>
      <w:tr w:rsidR="00EC3AE4" w:rsidTr="003E0020">
        <w:trPr>
          <w:trHeight w:val="831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Komputer musi być zabezpieczony przed nieautoryzowanym otwarciem w postaci kłódki lub zamka mechanicznego z odrębnymi unikalnymi kluczami dla każdego komputera stacjonarnego i wspólnymi kluczami serwisowymi w ilości 88 szt.</w:t>
            </w:r>
          </w:p>
        </w:tc>
      </w:tr>
      <w:tr w:rsidR="00EC3AE4" w:rsidTr="00984B4C">
        <w:trPr>
          <w:trHeight w:val="699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206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Obudowa </w:t>
            </w:r>
          </w:p>
          <w:p w:rsidR="00EC3AE4" w:rsidRDefault="00EC3AE4" w:rsidP="00984B4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Obudowa typu Mini Tower wykonana przez producenta komputera opatrzona logo producenta, z wbudowanym zasilaczem. </w:t>
            </w:r>
          </w:p>
        </w:tc>
      </w:tr>
      <w:tr w:rsidR="00EC3AE4" w:rsidTr="00984B4C">
        <w:trPr>
          <w:trHeight w:val="697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Obudowa musi umożliwiać serwisowanie komputera bez użycia narzędzi.</w:t>
            </w:r>
          </w:p>
        </w:tc>
      </w:tr>
      <w:tr w:rsidR="00EC3AE4" w:rsidTr="00984B4C">
        <w:trPr>
          <w:trHeight w:val="697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Minimum 2 porty USB dostępne w przedniej części obudowy, porty słuchawek i mikrofonu na przednim oraz tylnym panelu obudowy.</w:t>
            </w:r>
          </w:p>
        </w:tc>
      </w:tr>
      <w:tr w:rsidR="00EC3AE4" w:rsidTr="00984B4C">
        <w:trPr>
          <w:trHeight w:val="697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Kolorystyka: czarna, szara lub srebrna. </w:t>
            </w:r>
          </w:p>
        </w:tc>
      </w:tr>
      <w:tr w:rsidR="00EC3AE4" w:rsidTr="00984B4C">
        <w:trPr>
          <w:trHeight w:val="630"/>
        </w:trPr>
        <w:tc>
          <w:tcPr>
            <w:tcW w:w="48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2066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Kable</w:t>
            </w:r>
          </w:p>
          <w:p w:rsidR="00EC3AE4" w:rsidRDefault="00EC3AE4" w:rsidP="00984B4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EC3AE4" w:rsidRDefault="00EC3AE4" w:rsidP="00984B4C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Kabel zasilający (230 V / 50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):</w:t>
            </w:r>
          </w:p>
          <w:p w:rsidR="00EC3AE4" w:rsidRDefault="00EC3AE4" w:rsidP="00EC3AE4">
            <w:pPr>
              <w:pStyle w:val="Default"/>
              <w:numPr>
                <w:ilvl w:val="0"/>
                <w:numId w:val="57"/>
              </w:numPr>
              <w:tabs>
                <w:tab w:val="left" w:pos="1569"/>
              </w:tabs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złącze 1: Hybrydowe typu C/E/F męskie, wtyk kątowy</w:t>
            </w:r>
          </w:p>
          <w:p w:rsidR="00EC3AE4" w:rsidRPr="003E0020" w:rsidRDefault="00EC3AE4" w:rsidP="00984B4C">
            <w:pPr>
              <w:pStyle w:val="Default"/>
              <w:numPr>
                <w:ilvl w:val="0"/>
                <w:numId w:val="57"/>
              </w:numPr>
              <w:tabs>
                <w:tab w:val="left" w:pos="1569"/>
              </w:tabs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złącze 2: IEC 60320 C13 żeńskie</w:t>
            </w:r>
          </w:p>
        </w:tc>
      </w:tr>
      <w:tr w:rsidR="00EC3AE4" w:rsidTr="00984B4C">
        <w:trPr>
          <w:trHeight w:val="630"/>
        </w:trPr>
        <w:tc>
          <w:tcPr>
            <w:tcW w:w="486" w:type="dxa"/>
            <w:vMerge/>
          </w:tcPr>
          <w:p w:rsidR="00EC3AE4" w:rsidRDefault="00EC3AE4" w:rsidP="00984B4C"/>
        </w:tc>
        <w:tc>
          <w:tcPr>
            <w:tcW w:w="2066" w:type="dxa"/>
            <w:vMerge/>
          </w:tcPr>
          <w:p w:rsidR="00EC3AE4" w:rsidRDefault="00EC3AE4" w:rsidP="00984B4C"/>
        </w:tc>
        <w:tc>
          <w:tcPr>
            <w:tcW w:w="11777" w:type="dxa"/>
          </w:tcPr>
          <w:p w:rsidR="00EC3AE4" w:rsidRDefault="00EC3AE4" w:rsidP="00984B4C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Długość min. 1,8 m</w:t>
            </w:r>
          </w:p>
        </w:tc>
      </w:tr>
    </w:tbl>
    <w:p w:rsidR="00EC3AE4" w:rsidRPr="000B2AD3" w:rsidRDefault="00EC3AE4" w:rsidP="000B2AD3">
      <w:pPr>
        <w:shd w:val="clear" w:color="auto" w:fill="FFFFFF"/>
        <w:spacing w:before="360" w:after="100" w:afterAutospacing="1"/>
        <w:rPr>
          <w:b/>
          <w:bCs/>
          <w:lang w:eastAsia="pl-PL"/>
        </w:rPr>
      </w:pPr>
      <w:r w:rsidRPr="000B2AD3">
        <w:rPr>
          <w:b/>
          <w:bCs/>
          <w:lang w:eastAsia="pl-PL"/>
        </w:rPr>
        <w:t>Szczegółowa specyfikacja techniczna monitorów</w:t>
      </w:r>
    </w:p>
    <w:tbl>
      <w:tblPr>
        <w:tblStyle w:val="Tabela-Siatka"/>
        <w:tblW w:w="14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7"/>
        <w:gridCol w:w="1923"/>
        <w:gridCol w:w="11872"/>
      </w:tblGrid>
      <w:tr w:rsidR="00EC3AE4" w:rsidTr="00984B4C">
        <w:trPr>
          <w:trHeight w:val="490"/>
        </w:trPr>
        <w:tc>
          <w:tcPr>
            <w:tcW w:w="487" w:type="dxa"/>
            <w:shd w:val="pct5" w:color="000000" w:fill="auto"/>
            <w:vAlign w:val="center"/>
          </w:tcPr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23" w:type="dxa"/>
            <w:shd w:val="pct5" w:color="000000" w:fill="auto"/>
            <w:vAlign w:val="center"/>
          </w:tcPr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11872" w:type="dxa"/>
            <w:shd w:val="pct5" w:color="000000" w:fill="auto"/>
            <w:vAlign w:val="center"/>
          </w:tcPr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minimalne parametry techniczne</w:t>
            </w:r>
          </w:p>
          <w:p w:rsidR="00EC3AE4" w:rsidRDefault="00EC3AE4" w:rsidP="00984B4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 wyjątkiem tych, przy których wskazano wartość maksymalną bądź zakres)</w:t>
            </w: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EC3AE4" w:rsidRDefault="00EC3AE4" w:rsidP="00984B4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Przekątna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23"</w:t>
            </w: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</w:tcPr>
          <w:p w:rsidR="00EC3AE4" w:rsidRDefault="00EC3AE4" w:rsidP="00984B4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 x 1080 Full HD przy częstotliwości 60Hz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Proporcja obrazu</w:t>
            </w:r>
          </w:p>
        </w:tc>
        <w:tc>
          <w:tcPr>
            <w:tcW w:w="11872" w:type="dxa"/>
          </w:tcPr>
          <w:p w:rsidR="00EC3AE4" w:rsidRDefault="00EC3AE4" w:rsidP="00984B4C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16:9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Jasność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250 nitów 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Podświetlenie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Wielkość plamki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 mm - 0,28 mm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Kontrast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1000:1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Kąt widzenia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Poziom minimum 170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pion minimum 160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Technologia matrycy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Matowa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Pr="004B0600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 w:rsidRPr="004B0600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923" w:type="dxa"/>
          </w:tcPr>
          <w:p w:rsidR="00EC3AE4" w:rsidRPr="004B0600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 w:rsidRPr="004B0600">
              <w:rPr>
                <w:rFonts w:ascii="Calibri" w:eastAsia="Calibri" w:hAnsi="Calibri"/>
                <w:sz w:val="20"/>
                <w:szCs w:val="20"/>
              </w:rPr>
              <w:t>Czas reakcji</w:t>
            </w:r>
          </w:p>
        </w:tc>
        <w:tc>
          <w:tcPr>
            <w:tcW w:w="11872" w:type="dxa"/>
          </w:tcPr>
          <w:p w:rsidR="00EC3AE4" w:rsidRPr="004B0600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 w:rsidRPr="004B0600">
              <w:rPr>
                <w:sz w:val="20"/>
                <w:szCs w:val="20"/>
              </w:rPr>
              <w:t>Maksimum 7 ms (od szarego do szarego w trybie normalnym)</w:t>
            </w: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Złącza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1 szt. DVI i 1 szt. HDMI 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Wymaganie nie może być spełnione poprzez użycie adapterów</w:t>
            </w: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Regulacja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zakres regulacji wysokości 130 mm oraz obrót wokół własnej osi co najmniej o 120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- po 60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w obu kierunkach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c>
          <w:tcPr>
            <w:tcW w:w="487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923" w:type="dxa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Pochylenie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zakres pochylenia 20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do tyłu i 5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do przodu 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EC3AE4" w:rsidTr="00984B4C">
        <w:trPr>
          <w:trHeight w:val="965"/>
        </w:trPr>
        <w:tc>
          <w:tcPr>
            <w:tcW w:w="487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</w:p>
        </w:tc>
        <w:tc>
          <w:tcPr>
            <w:tcW w:w="1923" w:type="dxa"/>
            <w:vMerge w:val="restart"/>
          </w:tcPr>
          <w:p w:rsidR="00EC3AE4" w:rsidRDefault="00EC3AE4" w:rsidP="00984B4C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Kable</w:t>
            </w:r>
          </w:p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zasilający: złącze 1- Hybrydowe typu C/E/F męskie (wtyk kątowy), złącze 2 - IEC 320 C13 żeńskie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min. 1,8 m</w:t>
            </w:r>
          </w:p>
        </w:tc>
      </w:tr>
      <w:tr w:rsidR="00EC3AE4" w:rsidTr="00984B4C">
        <w:trPr>
          <w:trHeight w:val="965"/>
        </w:trPr>
        <w:tc>
          <w:tcPr>
            <w:tcW w:w="487" w:type="dxa"/>
            <w:vMerge/>
          </w:tcPr>
          <w:p w:rsidR="00EC3AE4" w:rsidRDefault="00EC3AE4" w:rsidP="00984B4C"/>
        </w:tc>
        <w:tc>
          <w:tcPr>
            <w:tcW w:w="1923" w:type="dxa"/>
            <w:vMerge/>
          </w:tcPr>
          <w:p w:rsidR="00EC3AE4" w:rsidRDefault="00EC3AE4" w:rsidP="00984B4C"/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sygnałowy DVI-D – DVI-D (single-link, męski )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min. 1,8m</w:t>
            </w:r>
          </w:p>
        </w:tc>
      </w:tr>
      <w:tr w:rsidR="00EC3AE4" w:rsidTr="00984B4C">
        <w:trPr>
          <w:trHeight w:val="965"/>
        </w:trPr>
        <w:tc>
          <w:tcPr>
            <w:tcW w:w="487" w:type="dxa"/>
            <w:vMerge/>
          </w:tcPr>
          <w:p w:rsidR="00EC3AE4" w:rsidRDefault="00EC3AE4" w:rsidP="00984B4C"/>
        </w:tc>
        <w:tc>
          <w:tcPr>
            <w:tcW w:w="1923" w:type="dxa"/>
            <w:vMerge/>
          </w:tcPr>
          <w:p w:rsidR="00EC3AE4" w:rsidRDefault="00EC3AE4" w:rsidP="00984B4C"/>
        </w:tc>
        <w:tc>
          <w:tcPr>
            <w:tcW w:w="11872" w:type="dxa"/>
          </w:tcPr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sygnałowy HDMI – HDMI wersja minimum 1.4 typ A</w:t>
            </w:r>
          </w:p>
          <w:p w:rsidR="00EC3AE4" w:rsidRDefault="00EC3AE4" w:rsidP="00984B4C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min. 1,8m</w:t>
            </w:r>
          </w:p>
        </w:tc>
      </w:tr>
    </w:tbl>
    <w:p w:rsidR="000B2AD3" w:rsidRDefault="000B2AD3" w:rsidP="000B2AD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B2AD3" w:rsidRDefault="000B2AD3" w:rsidP="000B2AD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55F9" w:rsidRDefault="008155F9" w:rsidP="000B2AD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0B2AD3">
        <w:rPr>
          <w:rFonts w:ascii="Calibri" w:eastAsia="Times New Roman" w:hAnsi="Calibri" w:cs="Times New Roman"/>
          <w:b/>
          <w:sz w:val="28"/>
          <w:szCs w:val="28"/>
          <w:lang w:eastAsia="pl-PL"/>
        </w:rPr>
        <w:t>Zestaw – Wariant B</w:t>
      </w:r>
    </w:p>
    <w:p w:rsidR="000B2AD3" w:rsidRPr="000B2AD3" w:rsidRDefault="000B2AD3" w:rsidP="000B2AD3">
      <w:pPr>
        <w:pStyle w:val="Akapitzlist"/>
        <w:shd w:val="clear" w:color="auto" w:fill="FFFFFF"/>
        <w:spacing w:before="360" w:after="100" w:afterAutospacing="1"/>
        <w:ind w:left="0"/>
        <w:rPr>
          <w:b/>
          <w:bCs/>
          <w:lang w:eastAsia="pl-PL"/>
        </w:rPr>
      </w:pPr>
      <w:r w:rsidRPr="00237997">
        <w:rPr>
          <w:b/>
          <w:bCs/>
          <w:lang w:eastAsia="pl-PL"/>
        </w:rPr>
        <w:t xml:space="preserve">Szczegółowa specyfikacja techniczna </w:t>
      </w:r>
      <w:r>
        <w:rPr>
          <w:b/>
          <w:bCs/>
          <w:lang w:eastAsia="pl-PL"/>
        </w:rPr>
        <w:t>komputerów</w:t>
      </w:r>
    </w:p>
    <w:tbl>
      <w:tblPr>
        <w:tblStyle w:val="Tabela-Siatka"/>
        <w:tblW w:w="143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1777"/>
      </w:tblGrid>
      <w:tr w:rsidR="008155F9" w:rsidTr="00CD78B4">
        <w:trPr>
          <w:trHeight w:val="490"/>
        </w:trPr>
        <w:tc>
          <w:tcPr>
            <w:tcW w:w="486" w:type="dxa"/>
            <w:shd w:val="pct5" w:color="000000" w:fill="auto"/>
            <w:vAlign w:val="center"/>
          </w:tcPr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6" w:type="dxa"/>
            <w:shd w:val="pct5" w:color="000000" w:fill="auto"/>
            <w:vAlign w:val="center"/>
          </w:tcPr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11777" w:type="dxa"/>
            <w:shd w:val="pct5" w:color="000000" w:fill="auto"/>
            <w:vAlign w:val="center"/>
          </w:tcPr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minimalne parametry techniczne</w:t>
            </w:r>
          </w:p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 wyjątkiem tych, przy których wskazano wartość maksymalną bądź zakres)</w:t>
            </w:r>
          </w:p>
        </w:tc>
      </w:tr>
      <w:tr w:rsidR="008155F9" w:rsidTr="00CD78B4">
        <w:tc>
          <w:tcPr>
            <w:tcW w:w="48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Procesor </w:t>
            </w: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 w:after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Wielordzeniowy, zgodny z architekturą x86-64, obsługujący 64 bitowe instrukcje, umożliwiający uzyskanie w teście wydajnościowym minimum 5500 pkt. (kolumna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Passmark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CPU Mark) w benchmarku CPU dostępnym, na stronie: </w:t>
            </w:r>
          </w:p>
          <w:p w:rsidR="008155F9" w:rsidRDefault="008155F9" w:rsidP="00CD78B4">
            <w:pPr>
              <w:pStyle w:val="Default"/>
              <w:spacing w:before="120" w:after="120"/>
              <w:rPr>
                <w:rStyle w:val="Hipercze"/>
                <w:sz w:val="22"/>
                <w:szCs w:val="22"/>
              </w:rPr>
            </w:pPr>
            <w:hyperlink r:id="rId13">
              <w:r>
                <w:rPr>
                  <w:rStyle w:val="Hipercze"/>
                  <w:sz w:val="22"/>
                  <w:szCs w:val="22"/>
                </w:rPr>
                <w:t>https://www.cpubenchmark.net/cpu_list.php</w:t>
              </w:r>
            </w:hyperlink>
          </w:p>
          <w:p w:rsidR="008155F9" w:rsidRPr="00525519" w:rsidRDefault="008155F9" w:rsidP="00CD78B4">
            <w:pPr>
              <w:pStyle w:val="Default"/>
              <w:spacing w:before="120" w:after="120"/>
              <w:rPr>
                <w:rFonts w:ascii="Calibri" w:eastAsia="Calibri" w:hAnsi="Calibri"/>
                <w:sz w:val="20"/>
                <w:szCs w:val="20"/>
              </w:rPr>
            </w:pPr>
            <w:r w:rsidRPr="00EC3AE4">
              <w:rPr>
                <w:rFonts w:ascii="Calibri" w:eastAsia="Calibri" w:hAnsi="Calibri"/>
                <w:sz w:val="20"/>
                <w:szCs w:val="20"/>
              </w:rPr>
              <w:t>Procesor powinien pochodzić z linii produkcyjnej z II kw. 2018 r. lub nowszej.</w:t>
            </w:r>
          </w:p>
        </w:tc>
      </w:tr>
      <w:tr w:rsidR="008155F9" w:rsidTr="00CD78B4">
        <w:tc>
          <w:tcPr>
            <w:tcW w:w="48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Pamięć masowa SSD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3B220B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Minimum 512</w:t>
            </w:r>
            <w:r w:rsidR="008155F9">
              <w:rPr>
                <w:rFonts w:ascii="Calibri" w:eastAsia="Calibri" w:hAnsi="Calibri"/>
                <w:sz w:val="20"/>
                <w:szCs w:val="20"/>
              </w:rPr>
              <w:t xml:space="preserve"> GB SSD SATA III, </w:t>
            </w:r>
            <w:r w:rsidR="008155F9" w:rsidRPr="00EC3AE4">
              <w:rPr>
                <w:rFonts w:ascii="Calibri" w:eastAsia="Calibri" w:hAnsi="Calibri"/>
                <w:sz w:val="20"/>
                <w:szCs w:val="20"/>
              </w:rPr>
              <w:t>szybkość odczytu I zapisu nie niższa niż 480MB/s</w:t>
            </w:r>
          </w:p>
        </w:tc>
      </w:tr>
      <w:tr w:rsidR="008155F9" w:rsidRPr="00F82B75" w:rsidTr="00CD78B4">
        <w:tc>
          <w:tcPr>
            <w:tcW w:w="48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Pamięć operacyjna RAM 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Pr="00EC3AE4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 w:rsidRPr="00EC3AE4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Minimum 8 GB </w:t>
            </w:r>
            <w:proofErr w:type="spellStart"/>
            <w:r w:rsidRPr="00EC3AE4">
              <w:rPr>
                <w:rFonts w:ascii="Calibri" w:eastAsia="Calibri" w:hAnsi="Calibri"/>
                <w:sz w:val="20"/>
                <w:szCs w:val="20"/>
                <w:lang w:val="en-US"/>
              </w:rPr>
              <w:t>typ</w:t>
            </w:r>
            <w:proofErr w:type="spellEnd"/>
            <w:r w:rsidRPr="00EC3AE4">
              <w:rPr>
                <w:rFonts w:ascii="Calibri" w:eastAsia="Calibri" w:hAnsi="Calibri"/>
                <w:sz w:val="20"/>
                <w:szCs w:val="20"/>
                <w:lang w:val="en-US"/>
              </w:rPr>
              <w:t xml:space="preserve"> DDR4 (1x8GB) </w:t>
            </w:r>
          </w:p>
        </w:tc>
      </w:tr>
      <w:tr w:rsidR="008155F9" w:rsidTr="00CD78B4">
        <w:trPr>
          <w:trHeight w:val="943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Karta graficzna 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Zintegrowana z procesorem, zgodna sprzętowo i programowo z DirectX 12, umożliwiająca pracę dwumonitorową.</w:t>
            </w:r>
          </w:p>
        </w:tc>
      </w:tr>
      <w:tr w:rsidR="008155F9" w:rsidTr="00CD78B4">
        <w:trPr>
          <w:trHeight w:val="1465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i rodzaj portów: </w:t>
            </w:r>
          </w:p>
          <w:p w:rsidR="008155F9" w:rsidRDefault="008155F9" w:rsidP="00CD78B4">
            <w:pPr>
              <w:pStyle w:val="Default"/>
              <w:numPr>
                <w:ilvl w:val="0"/>
                <w:numId w:val="58"/>
              </w:numPr>
              <w:adjustRightInd/>
              <w:spacing w:before="120"/>
              <w:ind w:left="36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DVI – min.1 szt.</w:t>
            </w:r>
          </w:p>
          <w:p w:rsidR="008155F9" w:rsidRDefault="008155F9" w:rsidP="00CD78B4">
            <w:pPr>
              <w:pStyle w:val="Default"/>
              <w:numPr>
                <w:ilvl w:val="0"/>
                <w:numId w:val="58"/>
              </w:numPr>
              <w:adjustRightInd/>
              <w:spacing w:before="120"/>
              <w:ind w:left="36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HDMI – min.1 szt.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Napęd optyczny </w:t>
            </w:r>
          </w:p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Brak</w:t>
            </w:r>
          </w:p>
        </w:tc>
      </w:tr>
      <w:tr w:rsidR="008155F9" w:rsidTr="00CD78B4">
        <w:trPr>
          <w:trHeight w:val="999"/>
        </w:trPr>
        <w:tc>
          <w:tcPr>
            <w:tcW w:w="48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Multimedia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ind w:left="-43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Karta dźwiękowa zintegrowana z płytą główną komputera, zgodna z High Definition (HD) Audio</w:t>
            </w:r>
          </w:p>
          <w:p w:rsidR="008155F9" w:rsidRDefault="008155F9" w:rsidP="00CD78B4">
            <w:pPr>
              <w:pStyle w:val="Default"/>
              <w:spacing w:before="120"/>
              <w:ind w:left="-43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55F9" w:rsidTr="00CD78B4">
        <w:tc>
          <w:tcPr>
            <w:tcW w:w="486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Czytnik kart elektronicznych</w:t>
            </w:r>
          </w:p>
        </w:tc>
        <w:tc>
          <w:tcPr>
            <w:tcW w:w="11777" w:type="dxa"/>
            <w:vAlign w:val="center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Zgodny z normą ISO 7816 oraz standardem określonym przez specyfikację PC/SC. Czytnik obsługuje posiadane przez Zamawiającego karty </w:t>
            </w:r>
            <w:proofErr w:type="spellStart"/>
            <w:r>
              <w:rPr>
                <w:sz w:val="20"/>
                <w:szCs w:val="20"/>
              </w:rPr>
              <w:t>Starcos</w:t>
            </w:r>
            <w:proofErr w:type="spellEnd"/>
            <w:r>
              <w:rPr>
                <w:sz w:val="20"/>
                <w:szCs w:val="20"/>
              </w:rPr>
              <w:t xml:space="preserve"> 3.2. Czytnik ma być zamontowany w obudowie komputera lub w klawiaturze w pozycji poziomej.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rPr>
          <w:trHeight w:val="1170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Wymagania dodatkowe </w:t>
            </w:r>
          </w:p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(wymagania nie mogą być spełnione poprzez zastosowanie adapterów)</w:t>
            </w:r>
          </w:p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Karta sieciowa LAN 10/100/1000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Mb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/s Ethernet RJ 45 ze wsparciem PXE, zintegrowana z płytą główną, </w:t>
            </w:r>
            <w:r w:rsidRPr="00EC3AE4">
              <w:rPr>
                <w:rFonts w:ascii="Calibri" w:eastAsia="Calibri" w:hAnsi="Calibri"/>
                <w:sz w:val="20"/>
                <w:szCs w:val="20"/>
              </w:rPr>
              <w:t xml:space="preserve">obsługa </w:t>
            </w:r>
            <w:proofErr w:type="spellStart"/>
            <w:r w:rsidRPr="00EC3AE4">
              <w:rPr>
                <w:rFonts w:ascii="Calibri" w:eastAsia="Calibri" w:hAnsi="Calibri"/>
                <w:sz w:val="20"/>
                <w:szCs w:val="20"/>
              </w:rPr>
              <w:t>WoL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</w:tr>
      <w:tr w:rsidR="008155F9" w:rsidTr="00CD78B4">
        <w:trPr>
          <w:trHeight w:val="1506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Porty i złącza:</w:t>
            </w:r>
          </w:p>
          <w:p w:rsidR="008155F9" w:rsidRDefault="008155F9" w:rsidP="00CD78B4">
            <w:pPr>
              <w:pStyle w:val="Default"/>
              <w:numPr>
                <w:ilvl w:val="0"/>
                <w:numId w:val="59"/>
              </w:numPr>
              <w:adjustRightInd/>
              <w:spacing w:before="120"/>
              <w:ind w:left="714" w:hanging="35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minimum 6 portów USB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Type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-A w tym minimum dwa porty USB 3.0 lub wyższy</w:t>
            </w:r>
          </w:p>
          <w:p w:rsidR="008155F9" w:rsidRDefault="008155F9" w:rsidP="00CD78B4">
            <w:pPr>
              <w:pStyle w:val="Default"/>
              <w:numPr>
                <w:ilvl w:val="0"/>
                <w:numId w:val="59"/>
              </w:numPr>
              <w:adjustRightInd/>
              <w:spacing w:before="120"/>
              <w:ind w:left="714" w:hanging="35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Minimum 2 złącza DIMM</w:t>
            </w:r>
          </w:p>
        </w:tc>
      </w:tr>
      <w:tr w:rsidR="008155F9" w:rsidTr="00CD78B4">
        <w:trPr>
          <w:trHeight w:val="117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Porty audio: wyjście słuchawek i wejście mikrofonowe (możliwe zastosowanie portu typu COMBO).</w:t>
            </w:r>
          </w:p>
        </w:tc>
      </w:tr>
      <w:tr w:rsidR="008155F9" w:rsidTr="00CD78B4">
        <w:trPr>
          <w:trHeight w:val="85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Klawiatura USB w układzie US – QWERTY polski programisty; długość przewodu min. 1,8 m; </w:t>
            </w:r>
            <w:r w:rsidRPr="00EC3AE4">
              <w:rPr>
                <w:rFonts w:ascii="Calibri" w:eastAsia="Calibri" w:hAnsi="Calibri"/>
                <w:sz w:val="20"/>
                <w:szCs w:val="20"/>
              </w:rPr>
              <w:t>klawiatura powinna mieć możliwość regulacji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EC3AE4">
              <w:rPr>
                <w:rFonts w:ascii="Calibri" w:eastAsia="Calibri" w:hAnsi="Calibri"/>
                <w:sz w:val="20"/>
                <w:szCs w:val="20"/>
              </w:rPr>
              <w:t xml:space="preserve"> zakres pochylenia minimum od 0° do 15°</w:t>
            </w:r>
          </w:p>
        </w:tc>
      </w:tr>
      <w:tr w:rsidR="008155F9" w:rsidTr="00CD78B4">
        <w:trPr>
          <w:trHeight w:val="654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Mysz optyczna USB, długość przewodu min. 1,8 m, z min dwoma klawiszami oraz rolką (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scroll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)  </w:t>
            </w:r>
          </w:p>
        </w:tc>
      </w:tr>
      <w:tr w:rsidR="008155F9" w:rsidTr="00CD78B4">
        <w:trPr>
          <w:trHeight w:val="117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Podkładka pod mysz - spód podkładki wykonany powinien być z powierzchni antypoślizgowej w taki sposób, aby uniemożliwić przypadkowe przesunięcie podkładki podczas korzystania z myszy komputerowej. Powinna działać z myszą optyczną jak i laserową.</w:t>
            </w:r>
          </w:p>
        </w:tc>
      </w:tr>
      <w:tr w:rsidR="008155F9" w:rsidTr="00CD78B4">
        <w:trPr>
          <w:trHeight w:val="113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Komplet sterowników do systemu operacyjnego zainstalowanego na stacji roboczej dla wszystkich elementów wymagających sterowników, wchodzących w skład urządzenia, dołączony na nośniku optycznym w ilości 44 szt. Sterowniki powinny być kompatybilne z platformą Windows 10 64-bit lub systemem równoważnym</w:t>
            </w:r>
          </w:p>
        </w:tc>
      </w:tr>
      <w:tr w:rsidR="008155F9" w:rsidTr="00CD78B4">
        <w:trPr>
          <w:trHeight w:val="113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Poziom hałasu stacji roboczej w trybie IDLE maksymalnie 27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dB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mierzony z pozycji operatora, zgodnie z normą ISO 9296 lub równoważną.</w:t>
            </w:r>
          </w:p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55F9" w:rsidTr="00CD78B4">
        <w:trPr>
          <w:trHeight w:val="1010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Zgodność z systemami operacyjnymi i standardami 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Zainstalowana 64-bitowa wersja systemu operacyjnego Microsoft Windows 10 Professional PL lub równoważnego.</w:t>
            </w:r>
          </w:p>
        </w:tc>
      </w:tr>
      <w:tr w:rsidR="008155F9" w:rsidTr="00CD78B4">
        <w:trPr>
          <w:trHeight w:val="101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Bezterminowa licencja na system Microsoft Windows 10 Professional lub równoważny w polskiej wersji językowej</w:t>
            </w:r>
          </w:p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55F9" w:rsidTr="00CD78B4">
        <w:trPr>
          <w:trHeight w:val="561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BIOS</w:t>
            </w: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BIOS w standardzie UEFI min. v2.3.1 </w:t>
            </w:r>
          </w:p>
        </w:tc>
      </w:tr>
      <w:tr w:rsidR="008155F9" w:rsidTr="00CD78B4">
        <w:trPr>
          <w:trHeight w:val="938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Zawiera nieulotną informację z nazwą producenta, nazwą produktu, jego numerem seryjnym możliwym do odczytania z poziomu WMI, wersji BIOS, a także informację o: typie zainstalowanego procesora, ilości i typie pamięci RAM </w:t>
            </w:r>
          </w:p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55F9" w:rsidTr="00CD78B4">
        <w:trPr>
          <w:trHeight w:val="938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Informacja o dysku twardym: model </w:t>
            </w:r>
          </w:p>
        </w:tc>
      </w:tr>
      <w:tr w:rsidR="008155F9" w:rsidTr="00CD78B4">
        <w:trPr>
          <w:trHeight w:val="938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3E0020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Możliwość wyłączenia/włączenia: zintegrowanej karty sieciowej, portów USB z poziomu BIOS bez uruchamiania systemu operacyjnego z dysku twardego komputera lub innych, podłączonych do niego, urządzeń zewnętrznych </w:t>
            </w:r>
            <w:r w:rsidR="003E0020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</w:tr>
      <w:tr w:rsidR="008155F9" w:rsidTr="00CD78B4">
        <w:trPr>
          <w:trHeight w:val="1963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Funkcja blokowania/odblokowania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boot-owania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 </w:t>
            </w:r>
          </w:p>
        </w:tc>
      </w:tr>
      <w:tr w:rsidR="008155F9" w:rsidTr="00CD78B4">
        <w:trPr>
          <w:trHeight w:val="1210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Bezpieczeństwo </w:t>
            </w:r>
          </w:p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BIOS w standardzie UEFI min. v2.3.1 posiada możliwość: 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Skonfigurowania hasła „Power On” oraz ustawienia hasła dostępu do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BIOSu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Blokady/wyłączenia portów USB, karty sieciowej, 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Kontroli sekwencji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boot-ującej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Startu systemu z urządzenia USB, 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Funkcja blokowania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boot-owania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stacji roboczej z zewnętrznych urządzeń. </w:t>
            </w:r>
          </w:p>
        </w:tc>
      </w:tr>
      <w:tr w:rsidR="008155F9" w:rsidTr="00CD78B4">
        <w:trPr>
          <w:trHeight w:val="968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Trusted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Platform Module min. v2.0. </w:t>
            </w:r>
          </w:p>
        </w:tc>
      </w:tr>
      <w:tr w:rsidR="008155F9" w:rsidTr="00CD78B4">
        <w:trPr>
          <w:trHeight w:val="1124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Komputer musi być zabezpieczony przed nieautoryzowanym otwarciem w postaci kłódki lub zamka mechanicznego z odrębnymi unikalnymi kluczami dla każdego komputera stacjonarnego i wspólnymi kluczami serwisowymi w ilości 88 szt.</w:t>
            </w:r>
          </w:p>
        </w:tc>
      </w:tr>
      <w:tr w:rsidR="008155F9" w:rsidTr="00CD78B4">
        <w:trPr>
          <w:trHeight w:val="699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Obudowa 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Obudowa typu Mini Tower wykonana przez producenta komputera opatrzona logo producenta, z wbudowanym zasilaczem. </w:t>
            </w:r>
          </w:p>
        </w:tc>
      </w:tr>
      <w:tr w:rsidR="008155F9" w:rsidTr="00CD78B4">
        <w:trPr>
          <w:trHeight w:val="697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Obudowa musi umożliwiać serwisowanie komputera bez użycia narzędzi.</w:t>
            </w:r>
          </w:p>
        </w:tc>
      </w:tr>
      <w:tr w:rsidR="008155F9" w:rsidTr="00CD78B4">
        <w:trPr>
          <w:trHeight w:val="697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Minimum 2 porty USB dostępne w przedniej części obudowy, porty słuchawek i mikrofonu na przednim oraz tylnym panelu obudowy.</w:t>
            </w:r>
          </w:p>
        </w:tc>
      </w:tr>
      <w:tr w:rsidR="008155F9" w:rsidTr="00CD78B4">
        <w:trPr>
          <w:trHeight w:val="697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Kolorystyka: czarna, szara lub srebrna. </w:t>
            </w:r>
          </w:p>
        </w:tc>
      </w:tr>
      <w:tr w:rsidR="008155F9" w:rsidTr="00CD78B4">
        <w:trPr>
          <w:trHeight w:val="630"/>
        </w:trPr>
        <w:tc>
          <w:tcPr>
            <w:tcW w:w="48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2066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Kable</w:t>
            </w:r>
          </w:p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77" w:type="dxa"/>
          </w:tcPr>
          <w:p w:rsidR="008155F9" w:rsidRDefault="008155F9" w:rsidP="00CD78B4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Kabel zasilający (230 V / 50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>):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tabs>
                <w:tab w:val="left" w:pos="1569"/>
              </w:tabs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złącze 1: Hybrydowe typu C/E/F męskie, wtyk kątowy</w:t>
            </w:r>
          </w:p>
          <w:p w:rsidR="008155F9" w:rsidRDefault="008155F9" w:rsidP="00CD78B4">
            <w:pPr>
              <w:pStyle w:val="Default"/>
              <w:numPr>
                <w:ilvl w:val="0"/>
                <w:numId w:val="57"/>
              </w:numPr>
              <w:tabs>
                <w:tab w:val="left" w:pos="1569"/>
              </w:tabs>
              <w:adjustRightInd/>
              <w:spacing w:before="120"/>
              <w:ind w:left="7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złącze 2: IEC 60320 C13 żeńskie</w:t>
            </w:r>
          </w:p>
          <w:p w:rsidR="008155F9" w:rsidRDefault="008155F9" w:rsidP="00CD78B4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55F9" w:rsidTr="00CD78B4">
        <w:trPr>
          <w:trHeight w:val="630"/>
        </w:trPr>
        <w:tc>
          <w:tcPr>
            <w:tcW w:w="486" w:type="dxa"/>
            <w:vMerge/>
          </w:tcPr>
          <w:p w:rsidR="008155F9" w:rsidRDefault="008155F9" w:rsidP="00CD78B4"/>
        </w:tc>
        <w:tc>
          <w:tcPr>
            <w:tcW w:w="2066" w:type="dxa"/>
            <w:vMerge/>
          </w:tcPr>
          <w:p w:rsidR="008155F9" w:rsidRDefault="008155F9" w:rsidP="00CD78B4"/>
        </w:tc>
        <w:tc>
          <w:tcPr>
            <w:tcW w:w="11777" w:type="dxa"/>
          </w:tcPr>
          <w:p w:rsidR="008155F9" w:rsidRDefault="008155F9" w:rsidP="00CD78B4">
            <w:pPr>
              <w:pStyle w:val="Default"/>
              <w:tabs>
                <w:tab w:val="left" w:pos="1569"/>
              </w:tabs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Długość min. 1,8 m</w:t>
            </w:r>
          </w:p>
        </w:tc>
      </w:tr>
    </w:tbl>
    <w:p w:rsidR="008155F9" w:rsidRPr="000B2AD3" w:rsidRDefault="008155F9" w:rsidP="000B2AD3">
      <w:pPr>
        <w:shd w:val="clear" w:color="auto" w:fill="FFFFFF"/>
        <w:spacing w:before="360" w:after="100" w:afterAutospacing="1"/>
        <w:rPr>
          <w:b/>
          <w:bCs/>
          <w:lang w:eastAsia="pl-PL"/>
        </w:rPr>
      </w:pPr>
      <w:r w:rsidRPr="000B2AD3">
        <w:rPr>
          <w:b/>
          <w:bCs/>
          <w:lang w:eastAsia="pl-PL"/>
        </w:rPr>
        <w:t>Szczegółowa specyfikacja techniczna monitorów</w:t>
      </w:r>
    </w:p>
    <w:tbl>
      <w:tblPr>
        <w:tblStyle w:val="Tabela-Siatka"/>
        <w:tblW w:w="14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7"/>
        <w:gridCol w:w="1923"/>
        <w:gridCol w:w="11872"/>
      </w:tblGrid>
      <w:tr w:rsidR="008155F9" w:rsidTr="00CD78B4">
        <w:trPr>
          <w:trHeight w:val="490"/>
        </w:trPr>
        <w:tc>
          <w:tcPr>
            <w:tcW w:w="487" w:type="dxa"/>
            <w:shd w:val="pct5" w:color="000000" w:fill="auto"/>
            <w:vAlign w:val="center"/>
          </w:tcPr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23" w:type="dxa"/>
            <w:shd w:val="pct5" w:color="000000" w:fill="auto"/>
            <w:vAlign w:val="center"/>
          </w:tcPr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11872" w:type="dxa"/>
            <w:shd w:val="pct5" w:color="000000" w:fill="auto"/>
            <w:vAlign w:val="center"/>
          </w:tcPr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minimalne parametry techniczne</w:t>
            </w:r>
          </w:p>
          <w:p w:rsidR="008155F9" w:rsidRDefault="008155F9" w:rsidP="00CD78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 wyjątkiem tych, przy których wskazano wartość maksymalną bądź zakres)</w:t>
            </w: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8155F9" w:rsidRDefault="008155F9" w:rsidP="00CD78B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Przekątna</w:t>
            </w:r>
          </w:p>
        </w:tc>
        <w:tc>
          <w:tcPr>
            <w:tcW w:w="11872" w:type="dxa"/>
          </w:tcPr>
          <w:p w:rsidR="008155F9" w:rsidRDefault="003E0020" w:rsidP="00CD78B4">
            <w:pPr>
              <w:spacing w:before="120"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155F9">
              <w:rPr>
                <w:b/>
                <w:sz w:val="20"/>
                <w:szCs w:val="20"/>
              </w:rPr>
              <w:t>"</w:t>
            </w: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</w:tcPr>
          <w:p w:rsidR="008155F9" w:rsidRDefault="008155F9" w:rsidP="00CD78B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</w:t>
            </w:r>
          </w:p>
        </w:tc>
        <w:tc>
          <w:tcPr>
            <w:tcW w:w="11872" w:type="dxa"/>
          </w:tcPr>
          <w:p w:rsidR="008155F9" w:rsidRPr="003B220B" w:rsidRDefault="003E0020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 w:rsidRPr="003B220B">
              <w:rPr>
                <w:sz w:val="20"/>
                <w:szCs w:val="20"/>
              </w:rPr>
              <w:t>1920 x 120</w:t>
            </w:r>
            <w:r w:rsidR="008155F9" w:rsidRPr="003B220B">
              <w:rPr>
                <w:sz w:val="20"/>
                <w:szCs w:val="20"/>
              </w:rPr>
              <w:t>0 Full HD przy częstotliwości 60Hz</w:t>
            </w:r>
          </w:p>
          <w:p w:rsidR="008155F9" w:rsidRPr="003B220B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Proporcja obrazu</w:t>
            </w:r>
          </w:p>
        </w:tc>
        <w:tc>
          <w:tcPr>
            <w:tcW w:w="11872" w:type="dxa"/>
          </w:tcPr>
          <w:p w:rsidR="008155F9" w:rsidRDefault="003E0020" w:rsidP="00CD78B4">
            <w:pPr>
              <w:pStyle w:val="Default"/>
              <w:spacing w:before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16:10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Jasność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250 nitów 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Podświetlenie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Wielkość plamki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 mm - 0,28 mm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Kontrast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1000:1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Kąt widzenia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Poziom minimum 170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pion minimum 160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Technologia matrycy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Matowa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Pr="004B0600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 w:rsidRPr="004B0600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1923" w:type="dxa"/>
          </w:tcPr>
          <w:p w:rsidR="008155F9" w:rsidRPr="004B0600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 w:rsidRPr="004B0600">
              <w:rPr>
                <w:rFonts w:ascii="Calibri" w:eastAsia="Calibri" w:hAnsi="Calibri"/>
                <w:sz w:val="20"/>
                <w:szCs w:val="20"/>
              </w:rPr>
              <w:t>Czas reakcji</w:t>
            </w:r>
          </w:p>
        </w:tc>
        <w:tc>
          <w:tcPr>
            <w:tcW w:w="11872" w:type="dxa"/>
          </w:tcPr>
          <w:p w:rsidR="008155F9" w:rsidRPr="004B0600" w:rsidRDefault="003E0020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Maksimum 8</w:t>
            </w:r>
            <w:r w:rsidR="008155F9" w:rsidRPr="004B0600">
              <w:rPr>
                <w:sz w:val="20"/>
                <w:szCs w:val="20"/>
              </w:rPr>
              <w:t xml:space="preserve"> ms (od szarego do szarego w trybie normalnym)</w:t>
            </w: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Złącza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1 szt. DVI i 1 szt. HDMI 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Wymaganie nie może być spełnione poprzez użycie adapterów</w:t>
            </w: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Regulacja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zakres regulacji wysokości 130 mm oraz obrót wokół własnej osi co najmniej o 120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- po 60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w obu kierunkach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c>
          <w:tcPr>
            <w:tcW w:w="487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1923" w:type="dxa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Pochylenie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zakres pochylenia 20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do tyłu i 5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do przodu 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</w:p>
        </w:tc>
      </w:tr>
      <w:tr w:rsidR="008155F9" w:rsidTr="00CD78B4">
        <w:trPr>
          <w:trHeight w:val="965"/>
        </w:trPr>
        <w:tc>
          <w:tcPr>
            <w:tcW w:w="487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</w:p>
        </w:tc>
        <w:tc>
          <w:tcPr>
            <w:tcW w:w="1923" w:type="dxa"/>
            <w:vMerge w:val="restart"/>
          </w:tcPr>
          <w:p w:rsidR="008155F9" w:rsidRDefault="008155F9" w:rsidP="00CD78B4">
            <w:pPr>
              <w:pStyle w:val="Defaul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Kable</w:t>
            </w:r>
          </w:p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zasilający: złącze 1- Hybrydowe typu C/E/F męskie (wtyk kątowy), złącze 2 - IEC 320 C13 żeńskie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min. 1,8 m</w:t>
            </w:r>
          </w:p>
        </w:tc>
      </w:tr>
      <w:tr w:rsidR="008155F9" w:rsidTr="00CD78B4">
        <w:trPr>
          <w:trHeight w:val="965"/>
        </w:trPr>
        <w:tc>
          <w:tcPr>
            <w:tcW w:w="487" w:type="dxa"/>
            <w:vMerge/>
          </w:tcPr>
          <w:p w:rsidR="008155F9" w:rsidRDefault="008155F9" w:rsidP="00CD78B4"/>
        </w:tc>
        <w:tc>
          <w:tcPr>
            <w:tcW w:w="1923" w:type="dxa"/>
            <w:vMerge/>
          </w:tcPr>
          <w:p w:rsidR="008155F9" w:rsidRDefault="008155F9" w:rsidP="00CD78B4"/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sygnałowy DVI-D – DVI-D (single-link, męski )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min. 1,8m</w:t>
            </w:r>
          </w:p>
        </w:tc>
      </w:tr>
      <w:tr w:rsidR="008155F9" w:rsidTr="00CD78B4">
        <w:trPr>
          <w:trHeight w:val="965"/>
        </w:trPr>
        <w:tc>
          <w:tcPr>
            <w:tcW w:w="487" w:type="dxa"/>
            <w:vMerge/>
          </w:tcPr>
          <w:p w:rsidR="008155F9" w:rsidRDefault="008155F9" w:rsidP="00CD78B4"/>
        </w:tc>
        <w:tc>
          <w:tcPr>
            <w:tcW w:w="1923" w:type="dxa"/>
            <w:vMerge/>
          </w:tcPr>
          <w:p w:rsidR="008155F9" w:rsidRDefault="008155F9" w:rsidP="00CD78B4"/>
        </w:tc>
        <w:tc>
          <w:tcPr>
            <w:tcW w:w="11872" w:type="dxa"/>
          </w:tcPr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 sygnałowy HDMI – HDMI wersja minimum 1.4 typ A</w:t>
            </w:r>
          </w:p>
          <w:p w:rsidR="008155F9" w:rsidRDefault="008155F9" w:rsidP="00CD78B4">
            <w:pPr>
              <w:spacing w:before="120"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min. 1,8m</w:t>
            </w:r>
          </w:p>
        </w:tc>
      </w:tr>
    </w:tbl>
    <w:p w:rsidR="008155F9" w:rsidRDefault="008155F9" w:rsidP="008155F9">
      <w:pPr>
        <w:rPr>
          <w:rFonts w:ascii="Times New Roman" w:hAnsi="Times New Roman" w:cs="Times New Roman"/>
          <w:szCs w:val="24"/>
        </w:rPr>
      </w:pPr>
    </w:p>
    <w:p w:rsidR="008155F9" w:rsidRPr="008155F9" w:rsidRDefault="008155F9" w:rsidP="008155F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sectPr w:rsidR="008155F9" w:rsidRPr="008155F9" w:rsidSect="00EC3AE4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911"/>
    <w:multiLevelType w:val="hybridMultilevel"/>
    <w:tmpl w:val="0C822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8A0"/>
    <w:multiLevelType w:val="hybridMultilevel"/>
    <w:tmpl w:val="1ECCE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67F0B"/>
    <w:multiLevelType w:val="multilevel"/>
    <w:tmpl w:val="636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D6037"/>
    <w:multiLevelType w:val="hybridMultilevel"/>
    <w:tmpl w:val="7248C04E"/>
    <w:lvl w:ilvl="0" w:tplc="ED5A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F50CF"/>
    <w:multiLevelType w:val="hybridMultilevel"/>
    <w:tmpl w:val="1FD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10078"/>
    <w:multiLevelType w:val="hybridMultilevel"/>
    <w:tmpl w:val="1ECCE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04BE"/>
    <w:multiLevelType w:val="hybridMultilevel"/>
    <w:tmpl w:val="DC2E4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F1257"/>
    <w:multiLevelType w:val="hybridMultilevel"/>
    <w:tmpl w:val="B1EC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B74B5"/>
    <w:multiLevelType w:val="hybridMultilevel"/>
    <w:tmpl w:val="9E84D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4778B0"/>
    <w:multiLevelType w:val="hybridMultilevel"/>
    <w:tmpl w:val="DC7E7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17AE4"/>
    <w:multiLevelType w:val="hybridMultilevel"/>
    <w:tmpl w:val="CC3A7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4626C"/>
    <w:multiLevelType w:val="hybridMultilevel"/>
    <w:tmpl w:val="7930C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9228EA"/>
    <w:multiLevelType w:val="hybridMultilevel"/>
    <w:tmpl w:val="A7DC2968"/>
    <w:lvl w:ilvl="0" w:tplc="020C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922A0"/>
    <w:multiLevelType w:val="hybridMultilevel"/>
    <w:tmpl w:val="1E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33F54"/>
    <w:multiLevelType w:val="hybridMultilevel"/>
    <w:tmpl w:val="6C046DEA"/>
    <w:lvl w:ilvl="0" w:tplc="4330F6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95FE6"/>
    <w:multiLevelType w:val="hybridMultilevel"/>
    <w:tmpl w:val="4C061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C7321D"/>
    <w:multiLevelType w:val="hybridMultilevel"/>
    <w:tmpl w:val="9B14E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35DBD"/>
    <w:multiLevelType w:val="multilevel"/>
    <w:tmpl w:val="7EAC0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3EE0876"/>
    <w:multiLevelType w:val="multilevel"/>
    <w:tmpl w:val="7EAC0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981079C"/>
    <w:multiLevelType w:val="hybridMultilevel"/>
    <w:tmpl w:val="CD3CF50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9BE10DC"/>
    <w:multiLevelType w:val="hybridMultilevel"/>
    <w:tmpl w:val="9B14E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E2E0A"/>
    <w:multiLevelType w:val="hybridMultilevel"/>
    <w:tmpl w:val="DC7E7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C5E2A"/>
    <w:multiLevelType w:val="hybridMultilevel"/>
    <w:tmpl w:val="1E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00000"/>
    <w:multiLevelType w:val="hybridMultilevel"/>
    <w:tmpl w:val="385FADC9"/>
    <w:lvl w:ilvl="0" w:tplc="1B0CE2F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1" w:tplc="A9BE7A12">
      <w:start w:val="1"/>
      <w:numFmt w:val="lowerLetter"/>
      <w:lvlText w:val="%2."/>
      <w:lvlJc w:val="left"/>
      <w:pPr>
        <w:ind w:left="1800" w:hanging="360"/>
      </w:pPr>
    </w:lvl>
    <w:lvl w:ilvl="2" w:tplc="6A70CF66">
      <w:start w:val="1"/>
      <w:numFmt w:val="lowerRoman"/>
      <w:lvlText w:val="%3."/>
      <w:lvlJc w:val="right"/>
      <w:pPr>
        <w:ind w:left="2340" w:hanging="180"/>
      </w:pPr>
    </w:lvl>
    <w:lvl w:ilvl="3" w:tplc="F1D61EE8">
      <w:start w:val="1"/>
      <w:numFmt w:val="decimal"/>
      <w:lvlText w:val="%4."/>
      <w:lvlJc w:val="left"/>
      <w:pPr>
        <w:ind w:left="3240" w:hanging="360"/>
      </w:pPr>
    </w:lvl>
    <w:lvl w:ilvl="4" w:tplc="18B06D90">
      <w:start w:val="1"/>
      <w:numFmt w:val="lowerLetter"/>
      <w:lvlText w:val="%5."/>
      <w:lvlJc w:val="left"/>
      <w:pPr>
        <w:ind w:left="3960" w:hanging="360"/>
      </w:pPr>
    </w:lvl>
    <w:lvl w:ilvl="5" w:tplc="95B23AAA">
      <w:start w:val="1"/>
      <w:numFmt w:val="lowerRoman"/>
      <w:lvlText w:val="%6."/>
      <w:lvlJc w:val="right"/>
      <w:pPr>
        <w:ind w:left="4500" w:hanging="180"/>
      </w:pPr>
    </w:lvl>
    <w:lvl w:ilvl="6" w:tplc="F1920B5C">
      <w:start w:val="1"/>
      <w:numFmt w:val="decimal"/>
      <w:lvlText w:val="%7."/>
      <w:lvlJc w:val="left"/>
      <w:pPr>
        <w:ind w:left="5400" w:hanging="360"/>
      </w:pPr>
    </w:lvl>
    <w:lvl w:ilvl="7" w:tplc="09125F96">
      <w:start w:val="1"/>
      <w:numFmt w:val="lowerLetter"/>
      <w:lvlText w:val="%8."/>
      <w:lvlJc w:val="left"/>
      <w:pPr>
        <w:ind w:left="6120" w:hanging="360"/>
      </w:pPr>
    </w:lvl>
    <w:lvl w:ilvl="8" w:tplc="51F0FB7E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F000001"/>
    <w:multiLevelType w:val="hybridMultilevel"/>
    <w:tmpl w:val="359D0F01"/>
    <w:lvl w:ilvl="0" w:tplc="59FA210A">
      <w:start w:val="1"/>
      <w:numFmt w:val="lowerLetter"/>
      <w:lvlText w:val="%1)"/>
      <w:lvlJc w:val="left"/>
      <w:pPr>
        <w:ind w:left="1080" w:hanging="360"/>
      </w:pPr>
    </w:lvl>
    <w:lvl w:ilvl="1" w:tplc="CA06DA4C">
      <w:start w:val="1"/>
      <w:numFmt w:val="lowerLetter"/>
      <w:lvlText w:val="%2."/>
      <w:lvlJc w:val="left"/>
      <w:pPr>
        <w:ind w:left="1800" w:hanging="360"/>
      </w:pPr>
    </w:lvl>
    <w:lvl w:ilvl="2" w:tplc="501C9404">
      <w:start w:val="1"/>
      <w:numFmt w:val="lowerRoman"/>
      <w:lvlText w:val="%3."/>
      <w:lvlJc w:val="right"/>
      <w:pPr>
        <w:ind w:left="2340" w:hanging="180"/>
      </w:pPr>
    </w:lvl>
    <w:lvl w:ilvl="3" w:tplc="C714EF2A">
      <w:start w:val="1"/>
      <w:numFmt w:val="decimal"/>
      <w:lvlText w:val="%4."/>
      <w:lvlJc w:val="left"/>
      <w:pPr>
        <w:ind w:left="3240" w:hanging="360"/>
      </w:pPr>
    </w:lvl>
    <w:lvl w:ilvl="4" w:tplc="DEEC9460">
      <w:start w:val="1"/>
      <w:numFmt w:val="lowerLetter"/>
      <w:lvlText w:val="%5."/>
      <w:lvlJc w:val="left"/>
      <w:pPr>
        <w:ind w:left="3960" w:hanging="360"/>
      </w:pPr>
    </w:lvl>
    <w:lvl w:ilvl="5" w:tplc="928808F8">
      <w:start w:val="1"/>
      <w:numFmt w:val="lowerRoman"/>
      <w:lvlText w:val="%6."/>
      <w:lvlJc w:val="right"/>
      <w:pPr>
        <w:ind w:left="4500" w:hanging="180"/>
      </w:pPr>
    </w:lvl>
    <w:lvl w:ilvl="6" w:tplc="75442A64">
      <w:start w:val="1"/>
      <w:numFmt w:val="decimal"/>
      <w:lvlText w:val="%7."/>
      <w:lvlJc w:val="left"/>
      <w:pPr>
        <w:ind w:left="5400" w:hanging="360"/>
      </w:pPr>
    </w:lvl>
    <w:lvl w:ilvl="7" w:tplc="A24CD746">
      <w:start w:val="1"/>
      <w:numFmt w:val="lowerLetter"/>
      <w:lvlText w:val="%8."/>
      <w:lvlJc w:val="left"/>
      <w:pPr>
        <w:ind w:left="6120" w:hanging="360"/>
      </w:pPr>
    </w:lvl>
    <w:lvl w:ilvl="8" w:tplc="45CAD6F4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F000002"/>
    <w:multiLevelType w:val="hybridMultilevel"/>
    <w:tmpl w:val="3365765E"/>
    <w:lvl w:ilvl="0" w:tplc="19A41932">
      <w:start w:val="1"/>
      <w:numFmt w:val="lowerLetter"/>
      <w:lvlText w:val="%1)"/>
      <w:lvlJc w:val="left"/>
      <w:pPr>
        <w:ind w:left="720" w:hanging="360"/>
      </w:pPr>
    </w:lvl>
    <w:lvl w:ilvl="1" w:tplc="1B026A4E">
      <w:start w:val="1"/>
      <w:numFmt w:val="lowerLetter"/>
      <w:lvlText w:val="%2."/>
      <w:lvlJc w:val="left"/>
      <w:pPr>
        <w:ind w:left="1440" w:hanging="360"/>
      </w:pPr>
    </w:lvl>
    <w:lvl w:ilvl="2" w:tplc="A98044CC">
      <w:start w:val="1"/>
      <w:numFmt w:val="lowerRoman"/>
      <w:lvlText w:val="%3."/>
      <w:lvlJc w:val="right"/>
      <w:pPr>
        <w:ind w:left="1980" w:hanging="180"/>
      </w:pPr>
    </w:lvl>
    <w:lvl w:ilvl="3" w:tplc="992A88C4">
      <w:start w:val="1"/>
      <w:numFmt w:val="decimal"/>
      <w:lvlText w:val="%4."/>
      <w:lvlJc w:val="left"/>
      <w:pPr>
        <w:ind w:left="2880" w:hanging="360"/>
      </w:pPr>
    </w:lvl>
    <w:lvl w:ilvl="4" w:tplc="4078C81C">
      <w:start w:val="1"/>
      <w:numFmt w:val="lowerLetter"/>
      <w:lvlText w:val="%5."/>
      <w:lvlJc w:val="left"/>
      <w:pPr>
        <w:ind w:left="3600" w:hanging="360"/>
      </w:pPr>
    </w:lvl>
    <w:lvl w:ilvl="5" w:tplc="7C9AB178">
      <w:start w:val="1"/>
      <w:numFmt w:val="lowerRoman"/>
      <w:lvlText w:val="%6."/>
      <w:lvlJc w:val="right"/>
      <w:pPr>
        <w:ind w:left="4140" w:hanging="180"/>
      </w:pPr>
    </w:lvl>
    <w:lvl w:ilvl="6" w:tplc="BA8AF64C">
      <w:start w:val="1"/>
      <w:numFmt w:val="decimal"/>
      <w:lvlText w:val="%7."/>
      <w:lvlJc w:val="left"/>
      <w:pPr>
        <w:ind w:left="5040" w:hanging="360"/>
      </w:pPr>
    </w:lvl>
    <w:lvl w:ilvl="7" w:tplc="564AC238">
      <w:start w:val="1"/>
      <w:numFmt w:val="lowerLetter"/>
      <w:lvlText w:val="%8."/>
      <w:lvlJc w:val="left"/>
      <w:pPr>
        <w:ind w:left="5760" w:hanging="360"/>
      </w:pPr>
    </w:lvl>
    <w:lvl w:ilvl="8" w:tplc="55588980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30916F6C"/>
    <w:multiLevelType w:val="hybridMultilevel"/>
    <w:tmpl w:val="A7DC2968"/>
    <w:lvl w:ilvl="0" w:tplc="020C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549A1"/>
    <w:multiLevelType w:val="hybridMultilevel"/>
    <w:tmpl w:val="7248C04E"/>
    <w:lvl w:ilvl="0" w:tplc="ED5A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EF4E9F"/>
    <w:multiLevelType w:val="hybridMultilevel"/>
    <w:tmpl w:val="9E84D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4C22A26"/>
    <w:multiLevelType w:val="hybridMultilevel"/>
    <w:tmpl w:val="6368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983494"/>
    <w:multiLevelType w:val="multilevel"/>
    <w:tmpl w:val="7EAC0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39C632F5"/>
    <w:multiLevelType w:val="hybridMultilevel"/>
    <w:tmpl w:val="7930C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515853"/>
    <w:multiLevelType w:val="hybridMultilevel"/>
    <w:tmpl w:val="734E1500"/>
    <w:lvl w:ilvl="0" w:tplc="C49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442CC2"/>
    <w:multiLevelType w:val="hybridMultilevel"/>
    <w:tmpl w:val="9E84D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364C00"/>
    <w:multiLevelType w:val="hybridMultilevel"/>
    <w:tmpl w:val="7248C04E"/>
    <w:lvl w:ilvl="0" w:tplc="ED5A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5B43E1"/>
    <w:multiLevelType w:val="hybridMultilevel"/>
    <w:tmpl w:val="6368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CE023F"/>
    <w:multiLevelType w:val="hybridMultilevel"/>
    <w:tmpl w:val="DC2E4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B31224"/>
    <w:multiLevelType w:val="hybridMultilevel"/>
    <w:tmpl w:val="B1EC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575D9"/>
    <w:multiLevelType w:val="hybridMultilevel"/>
    <w:tmpl w:val="1E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B704A4"/>
    <w:multiLevelType w:val="hybridMultilevel"/>
    <w:tmpl w:val="767872B4"/>
    <w:lvl w:ilvl="0" w:tplc="020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2BA61E7"/>
    <w:multiLevelType w:val="hybridMultilevel"/>
    <w:tmpl w:val="6368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501545"/>
    <w:multiLevelType w:val="hybridMultilevel"/>
    <w:tmpl w:val="767872B4"/>
    <w:lvl w:ilvl="0" w:tplc="020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7B34416"/>
    <w:multiLevelType w:val="multilevel"/>
    <w:tmpl w:val="7EAC0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58A33BDB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1F7C68"/>
    <w:multiLevelType w:val="hybridMultilevel"/>
    <w:tmpl w:val="CC3A7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FB15123"/>
    <w:multiLevelType w:val="hybridMultilevel"/>
    <w:tmpl w:val="7248C04E"/>
    <w:lvl w:ilvl="0" w:tplc="ED5A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1B35EE9"/>
    <w:multiLevelType w:val="hybridMultilevel"/>
    <w:tmpl w:val="9B14E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87D526E"/>
    <w:multiLevelType w:val="hybridMultilevel"/>
    <w:tmpl w:val="1ECCE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29765C"/>
    <w:multiLevelType w:val="hybridMultilevel"/>
    <w:tmpl w:val="E36E9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6B6F576D"/>
    <w:multiLevelType w:val="multilevel"/>
    <w:tmpl w:val="7EAC0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02343AD"/>
    <w:multiLevelType w:val="hybridMultilevel"/>
    <w:tmpl w:val="7248C04E"/>
    <w:lvl w:ilvl="0" w:tplc="ED5A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05F4304"/>
    <w:multiLevelType w:val="hybridMultilevel"/>
    <w:tmpl w:val="7764DA7A"/>
    <w:lvl w:ilvl="0" w:tplc="91C46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2C5203"/>
    <w:multiLevelType w:val="hybridMultilevel"/>
    <w:tmpl w:val="9012AC94"/>
    <w:lvl w:ilvl="0" w:tplc="2D126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0734F4"/>
    <w:multiLevelType w:val="hybridMultilevel"/>
    <w:tmpl w:val="7472CB5C"/>
    <w:lvl w:ilvl="0" w:tplc="37B80542">
      <w:start w:val="1"/>
      <w:numFmt w:val="lowerLetter"/>
      <w:lvlText w:val="%1)"/>
      <w:lvlJc w:val="left"/>
      <w:pPr>
        <w:ind w:left="256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">
    <w:nsid w:val="74756D14"/>
    <w:multiLevelType w:val="hybridMultilevel"/>
    <w:tmpl w:val="7930C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54C2FE9"/>
    <w:multiLevelType w:val="hybridMultilevel"/>
    <w:tmpl w:val="DC7E7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52290D"/>
    <w:multiLevelType w:val="hybridMultilevel"/>
    <w:tmpl w:val="1E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857D58"/>
    <w:multiLevelType w:val="hybridMultilevel"/>
    <w:tmpl w:val="DC2E4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C01BE4"/>
    <w:multiLevelType w:val="hybridMultilevel"/>
    <w:tmpl w:val="7930C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20"/>
  </w:num>
  <w:num w:numId="5">
    <w:abstractNumId w:val="50"/>
  </w:num>
  <w:num w:numId="6">
    <w:abstractNumId w:val="55"/>
  </w:num>
  <w:num w:numId="7">
    <w:abstractNumId w:val="34"/>
  </w:num>
  <w:num w:numId="8">
    <w:abstractNumId w:val="59"/>
  </w:num>
  <w:num w:numId="9">
    <w:abstractNumId w:val="30"/>
  </w:num>
  <w:num w:numId="10">
    <w:abstractNumId w:val="60"/>
  </w:num>
  <w:num w:numId="11">
    <w:abstractNumId w:val="23"/>
  </w:num>
  <w:num w:numId="12">
    <w:abstractNumId w:val="42"/>
  </w:num>
  <w:num w:numId="13">
    <w:abstractNumId w:val="45"/>
  </w:num>
  <w:num w:numId="14">
    <w:abstractNumId w:val="22"/>
  </w:num>
  <w:num w:numId="15">
    <w:abstractNumId w:val="52"/>
  </w:num>
  <w:num w:numId="16">
    <w:abstractNumId w:val="1"/>
  </w:num>
  <w:num w:numId="17">
    <w:abstractNumId w:val="51"/>
  </w:num>
  <w:num w:numId="18">
    <w:abstractNumId w:val="19"/>
  </w:num>
  <w:num w:numId="19">
    <w:abstractNumId w:val="28"/>
  </w:num>
  <w:num w:numId="20">
    <w:abstractNumId w:val="13"/>
  </w:num>
  <w:num w:numId="21">
    <w:abstractNumId w:val="33"/>
  </w:num>
  <w:num w:numId="22">
    <w:abstractNumId w:val="54"/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15"/>
  </w:num>
  <w:num w:numId="26">
    <w:abstractNumId w:val="8"/>
  </w:num>
  <w:num w:numId="27">
    <w:abstractNumId w:val="12"/>
  </w:num>
  <w:num w:numId="28">
    <w:abstractNumId w:val="14"/>
  </w:num>
  <w:num w:numId="29">
    <w:abstractNumId w:val="6"/>
  </w:num>
  <w:num w:numId="30">
    <w:abstractNumId w:val="10"/>
  </w:num>
  <w:num w:numId="31">
    <w:abstractNumId w:val="36"/>
  </w:num>
  <w:num w:numId="32">
    <w:abstractNumId w:val="40"/>
  </w:num>
  <w:num w:numId="33">
    <w:abstractNumId w:val="21"/>
  </w:num>
  <w:num w:numId="34">
    <w:abstractNumId w:val="53"/>
  </w:num>
  <w:num w:numId="35">
    <w:abstractNumId w:val="7"/>
  </w:num>
  <w:num w:numId="36">
    <w:abstractNumId w:val="4"/>
  </w:num>
  <w:num w:numId="37">
    <w:abstractNumId w:val="46"/>
  </w:num>
  <w:num w:numId="38">
    <w:abstractNumId w:val="3"/>
  </w:num>
  <w:num w:numId="39">
    <w:abstractNumId w:val="58"/>
  </w:num>
  <w:num w:numId="40">
    <w:abstractNumId w:val="5"/>
  </w:num>
  <w:num w:numId="41">
    <w:abstractNumId w:val="18"/>
  </w:num>
  <w:num w:numId="42">
    <w:abstractNumId w:val="57"/>
  </w:num>
  <w:num w:numId="43">
    <w:abstractNumId w:val="31"/>
  </w:num>
  <w:num w:numId="44">
    <w:abstractNumId w:val="38"/>
  </w:num>
  <w:num w:numId="45">
    <w:abstractNumId w:val="29"/>
  </w:num>
  <w:num w:numId="46">
    <w:abstractNumId w:val="56"/>
  </w:num>
  <w:num w:numId="47">
    <w:abstractNumId w:val="37"/>
  </w:num>
  <w:num w:numId="48">
    <w:abstractNumId w:val="41"/>
  </w:num>
  <w:num w:numId="49">
    <w:abstractNumId w:val="17"/>
  </w:num>
  <w:num w:numId="50">
    <w:abstractNumId w:val="32"/>
  </w:num>
  <w:num w:numId="51">
    <w:abstractNumId w:val="27"/>
  </w:num>
  <w:num w:numId="52">
    <w:abstractNumId w:val="35"/>
  </w:num>
  <w:num w:numId="53">
    <w:abstractNumId w:val="39"/>
  </w:num>
  <w:num w:numId="54">
    <w:abstractNumId w:val="49"/>
  </w:num>
  <w:num w:numId="55">
    <w:abstractNumId w:val="9"/>
  </w:num>
  <w:num w:numId="56">
    <w:abstractNumId w:val="43"/>
  </w:num>
  <w:num w:numId="57">
    <w:abstractNumId w:val="24"/>
  </w:num>
  <w:num w:numId="58">
    <w:abstractNumId w:val="26"/>
  </w:num>
  <w:num w:numId="59">
    <w:abstractNumId w:val="25"/>
  </w:num>
  <w:num w:numId="60">
    <w:abstractNumId w:val="44"/>
  </w:num>
  <w:num w:numId="61">
    <w:abstractNumId w:val="48"/>
  </w:num>
  <w:num w:numId="62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5419"/>
    <w:rsid w:val="000120D9"/>
    <w:rsid w:val="00014BEC"/>
    <w:rsid w:val="00014EF6"/>
    <w:rsid w:val="00063319"/>
    <w:rsid w:val="000801A5"/>
    <w:rsid w:val="00085269"/>
    <w:rsid w:val="00085676"/>
    <w:rsid w:val="000A2698"/>
    <w:rsid w:val="000B2AD3"/>
    <w:rsid w:val="000C143D"/>
    <w:rsid w:val="000C5783"/>
    <w:rsid w:val="000D3C7C"/>
    <w:rsid w:val="000D6E6D"/>
    <w:rsid w:val="000E4E6C"/>
    <w:rsid w:val="000F1162"/>
    <w:rsid w:val="000F2DFB"/>
    <w:rsid w:val="00101AA1"/>
    <w:rsid w:val="0011208C"/>
    <w:rsid w:val="001120DB"/>
    <w:rsid w:val="001365DF"/>
    <w:rsid w:val="00147E4E"/>
    <w:rsid w:val="00156BC0"/>
    <w:rsid w:val="001724CD"/>
    <w:rsid w:val="001878E5"/>
    <w:rsid w:val="00190F29"/>
    <w:rsid w:val="001A2CB7"/>
    <w:rsid w:val="001B1CB6"/>
    <w:rsid w:val="001D6C31"/>
    <w:rsid w:val="001E1831"/>
    <w:rsid w:val="001E2488"/>
    <w:rsid w:val="001E7135"/>
    <w:rsid w:val="001F3E30"/>
    <w:rsid w:val="001F3F1F"/>
    <w:rsid w:val="0020318B"/>
    <w:rsid w:val="00213575"/>
    <w:rsid w:val="00237997"/>
    <w:rsid w:val="00267622"/>
    <w:rsid w:val="00267CC4"/>
    <w:rsid w:val="002918A8"/>
    <w:rsid w:val="002A1586"/>
    <w:rsid w:val="002E254F"/>
    <w:rsid w:val="002F54E4"/>
    <w:rsid w:val="002F59A4"/>
    <w:rsid w:val="003003BE"/>
    <w:rsid w:val="00304207"/>
    <w:rsid w:val="0033088E"/>
    <w:rsid w:val="00350802"/>
    <w:rsid w:val="00355D29"/>
    <w:rsid w:val="00356E1A"/>
    <w:rsid w:val="00357CC1"/>
    <w:rsid w:val="00367889"/>
    <w:rsid w:val="00372768"/>
    <w:rsid w:val="003B220B"/>
    <w:rsid w:val="003C3959"/>
    <w:rsid w:val="003D4759"/>
    <w:rsid w:val="003D71A9"/>
    <w:rsid w:val="003E0020"/>
    <w:rsid w:val="003E5425"/>
    <w:rsid w:val="004159FC"/>
    <w:rsid w:val="00420198"/>
    <w:rsid w:val="00421ACB"/>
    <w:rsid w:val="00422739"/>
    <w:rsid w:val="00450DF5"/>
    <w:rsid w:val="00463A81"/>
    <w:rsid w:val="00483F3E"/>
    <w:rsid w:val="0048440D"/>
    <w:rsid w:val="004D3188"/>
    <w:rsid w:val="004D57B9"/>
    <w:rsid w:val="00517E74"/>
    <w:rsid w:val="0058529C"/>
    <w:rsid w:val="005901BC"/>
    <w:rsid w:val="005962CB"/>
    <w:rsid w:val="005B5556"/>
    <w:rsid w:val="005D0F2C"/>
    <w:rsid w:val="005F4CF5"/>
    <w:rsid w:val="00614B79"/>
    <w:rsid w:val="00614BBF"/>
    <w:rsid w:val="0063732E"/>
    <w:rsid w:val="006449F0"/>
    <w:rsid w:val="00686C9F"/>
    <w:rsid w:val="006909DA"/>
    <w:rsid w:val="006941FD"/>
    <w:rsid w:val="006A74EE"/>
    <w:rsid w:val="006B3A1F"/>
    <w:rsid w:val="006C4513"/>
    <w:rsid w:val="006D3AD0"/>
    <w:rsid w:val="006D6627"/>
    <w:rsid w:val="006F2467"/>
    <w:rsid w:val="0070310B"/>
    <w:rsid w:val="007152C5"/>
    <w:rsid w:val="007269E2"/>
    <w:rsid w:val="007567FB"/>
    <w:rsid w:val="00756895"/>
    <w:rsid w:val="00781851"/>
    <w:rsid w:val="007A13F9"/>
    <w:rsid w:val="007A4574"/>
    <w:rsid w:val="007A727B"/>
    <w:rsid w:val="007B6034"/>
    <w:rsid w:val="007D34F2"/>
    <w:rsid w:val="007D695B"/>
    <w:rsid w:val="007E7F08"/>
    <w:rsid w:val="00807E9E"/>
    <w:rsid w:val="00815473"/>
    <w:rsid w:val="008155F9"/>
    <w:rsid w:val="00823999"/>
    <w:rsid w:val="00824324"/>
    <w:rsid w:val="008D49B6"/>
    <w:rsid w:val="008F2EDD"/>
    <w:rsid w:val="008F5FBF"/>
    <w:rsid w:val="008F70C6"/>
    <w:rsid w:val="008F7548"/>
    <w:rsid w:val="00915F6D"/>
    <w:rsid w:val="00930A94"/>
    <w:rsid w:val="009323CF"/>
    <w:rsid w:val="009406C1"/>
    <w:rsid w:val="00961452"/>
    <w:rsid w:val="00967A5D"/>
    <w:rsid w:val="00970541"/>
    <w:rsid w:val="009737B1"/>
    <w:rsid w:val="00975F9B"/>
    <w:rsid w:val="00987E87"/>
    <w:rsid w:val="009D72FA"/>
    <w:rsid w:val="009F6712"/>
    <w:rsid w:val="00A2743D"/>
    <w:rsid w:val="00A5340A"/>
    <w:rsid w:val="00A67F91"/>
    <w:rsid w:val="00A87900"/>
    <w:rsid w:val="00AA2F30"/>
    <w:rsid w:val="00AA4F85"/>
    <w:rsid w:val="00AD2308"/>
    <w:rsid w:val="00AD446F"/>
    <w:rsid w:val="00AF437B"/>
    <w:rsid w:val="00AF69BA"/>
    <w:rsid w:val="00B010F5"/>
    <w:rsid w:val="00B033ED"/>
    <w:rsid w:val="00B060BB"/>
    <w:rsid w:val="00B2508E"/>
    <w:rsid w:val="00B5314F"/>
    <w:rsid w:val="00B70796"/>
    <w:rsid w:val="00B77DA7"/>
    <w:rsid w:val="00B82295"/>
    <w:rsid w:val="00B9695B"/>
    <w:rsid w:val="00BA20E8"/>
    <w:rsid w:val="00BA323F"/>
    <w:rsid w:val="00BB3600"/>
    <w:rsid w:val="00BC3173"/>
    <w:rsid w:val="00BD3EE1"/>
    <w:rsid w:val="00BF1E34"/>
    <w:rsid w:val="00BF2E44"/>
    <w:rsid w:val="00BF7BB0"/>
    <w:rsid w:val="00C3119D"/>
    <w:rsid w:val="00C31D19"/>
    <w:rsid w:val="00C40201"/>
    <w:rsid w:val="00C431ED"/>
    <w:rsid w:val="00C84299"/>
    <w:rsid w:val="00C91426"/>
    <w:rsid w:val="00C94055"/>
    <w:rsid w:val="00CA4A84"/>
    <w:rsid w:val="00CA7BF8"/>
    <w:rsid w:val="00CB7EE8"/>
    <w:rsid w:val="00CC1BBC"/>
    <w:rsid w:val="00CE751E"/>
    <w:rsid w:val="00D00174"/>
    <w:rsid w:val="00D00DBC"/>
    <w:rsid w:val="00D13DF3"/>
    <w:rsid w:val="00D14ECD"/>
    <w:rsid w:val="00D368A9"/>
    <w:rsid w:val="00D66179"/>
    <w:rsid w:val="00D77B73"/>
    <w:rsid w:val="00D867BD"/>
    <w:rsid w:val="00DB2B3F"/>
    <w:rsid w:val="00DC2D28"/>
    <w:rsid w:val="00DD1FDA"/>
    <w:rsid w:val="00DD5B57"/>
    <w:rsid w:val="00DE58FB"/>
    <w:rsid w:val="00DE770F"/>
    <w:rsid w:val="00DF3FA0"/>
    <w:rsid w:val="00E03BBD"/>
    <w:rsid w:val="00E14881"/>
    <w:rsid w:val="00E332FC"/>
    <w:rsid w:val="00E4631A"/>
    <w:rsid w:val="00E55EB4"/>
    <w:rsid w:val="00E67399"/>
    <w:rsid w:val="00EA74FE"/>
    <w:rsid w:val="00EC3AE4"/>
    <w:rsid w:val="00EC6240"/>
    <w:rsid w:val="00ED3C46"/>
    <w:rsid w:val="00EE7C6E"/>
    <w:rsid w:val="00F01C6F"/>
    <w:rsid w:val="00F079F9"/>
    <w:rsid w:val="00F630B2"/>
    <w:rsid w:val="00F743C8"/>
    <w:rsid w:val="00F74DC9"/>
    <w:rsid w:val="00F82B75"/>
    <w:rsid w:val="00FA1AFC"/>
    <w:rsid w:val="00FC6B27"/>
    <w:rsid w:val="00FE702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37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431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37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431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pubenchmark.net/cpu_list.ph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upyIT@zus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anna.sobierajska-horaczek@zus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98C2-44F9-4688-B611-01644F5F0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32726-A16B-4365-8D9D-B0229EEBD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93982-B144-46CA-9185-0FD19F40C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FC329-B9B5-4162-94DA-73CDA107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2347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Owczarczyk, Włodzimierz</dc:creator>
  <cp:lastModifiedBy>SOBIERAJSKA-HORACZEK, Anna</cp:lastModifiedBy>
  <cp:revision>8</cp:revision>
  <cp:lastPrinted>2019-05-24T10:06:00Z</cp:lastPrinted>
  <dcterms:created xsi:type="dcterms:W3CDTF">2019-06-05T06:02:00Z</dcterms:created>
  <dcterms:modified xsi:type="dcterms:W3CDTF">2019-06-05T11:47:00Z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