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039" w:rsidRDefault="00B03E83" w:rsidP="00752039">
      <w:pPr>
        <w:spacing w:after="0" w:line="240" w:lineRule="auto"/>
        <w:jc w:val="center"/>
        <w:rPr>
          <w:rFonts w:ascii="Verdana" w:hAnsi="Verdana"/>
          <w:caps/>
          <w:sz w:val="24"/>
          <w:szCs w:val="24"/>
        </w:rPr>
      </w:pPr>
      <w:r w:rsidRPr="00810A99">
        <w:rPr>
          <w:rFonts w:ascii="Verdana" w:hAnsi="Verdana"/>
          <w:caps/>
          <w:sz w:val="24"/>
          <w:szCs w:val="24"/>
        </w:rPr>
        <w:t xml:space="preserve">Rozeznanie </w:t>
      </w:r>
      <w:r w:rsidR="00C54826">
        <w:rPr>
          <w:rFonts w:ascii="Verdana" w:hAnsi="Verdana"/>
          <w:caps/>
          <w:sz w:val="24"/>
          <w:szCs w:val="24"/>
        </w:rPr>
        <w:t xml:space="preserve">rynku dotyczące przeprowadzenia </w:t>
      </w:r>
      <w:r w:rsidRPr="00810A99">
        <w:rPr>
          <w:rFonts w:ascii="Verdana" w:hAnsi="Verdana"/>
          <w:caps/>
          <w:sz w:val="24"/>
          <w:szCs w:val="24"/>
        </w:rPr>
        <w:t xml:space="preserve">postępowania </w:t>
      </w:r>
      <w:r w:rsidR="001728F3">
        <w:rPr>
          <w:rFonts w:ascii="Verdana" w:hAnsi="Verdana"/>
          <w:caps/>
          <w:sz w:val="24"/>
          <w:szCs w:val="24"/>
        </w:rPr>
        <w:t>NA ZAKUP USŁUG</w:t>
      </w:r>
      <w:r w:rsidR="00752039">
        <w:rPr>
          <w:rFonts w:ascii="Verdana" w:hAnsi="Verdana"/>
          <w:caps/>
          <w:sz w:val="24"/>
          <w:szCs w:val="24"/>
        </w:rPr>
        <w:t xml:space="preserve"> </w:t>
      </w:r>
      <w:r w:rsidR="00752039" w:rsidRPr="00752039">
        <w:rPr>
          <w:rFonts w:ascii="Verdana" w:hAnsi="Verdana"/>
          <w:caps/>
          <w:sz w:val="24"/>
          <w:szCs w:val="24"/>
        </w:rPr>
        <w:t>Wsparci</w:t>
      </w:r>
      <w:r w:rsidR="001728F3">
        <w:rPr>
          <w:rFonts w:ascii="Verdana" w:hAnsi="Verdana"/>
          <w:caps/>
          <w:sz w:val="24"/>
          <w:szCs w:val="24"/>
        </w:rPr>
        <w:t>A</w:t>
      </w:r>
      <w:r w:rsidR="00752039" w:rsidRPr="00752039">
        <w:rPr>
          <w:rFonts w:ascii="Verdana" w:hAnsi="Verdana"/>
          <w:caps/>
          <w:sz w:val="24"/>
          <w:szCs w:val="24"/>
        </w:rPr>
        <w:t xml:space="preserve"> utrzymania i eksploatacji Systemu Wspomagania Ekonomiki Zakładu (SWEZ)</w:t>
      </w:r>
      <w:r w:rsidR="00752039">
        <w:rPr>
          <w:rFonts w:ascii="Verdana" w:hAnsi="Verdana"/>
          <w:caps/>
          <w:sz w:val="24"/>
          <w:szCs w:val="24"/>
        </w:rPr>
        <w:t xml:space="preserve"> </w:t>
      </w:r>
    </w:p>
    <w:p w:rsidR="00752039" w:rsidRDefault="00752039" w:rsidP="00752039">
      <w:pPr>
        <w:spacing w:after="0" w:line="240" w:lineRule="auto"/>
        <w:jc w:val="center"/>
        <w:rPr>
          <w:rFonts w:ascii="Verdana" w:hAnsi="Verdana"/>
          <w:caps/>
          <w:sz w:val="24"/>
          <w:szCs w:val="24"/>
        </w:rPr>
      </w:pPr>
      <w:r w:rsidRPr="00752039">
        <w:rPr>
          <w:rFonts w:ascii="Verdana" w:hAnsi="Verdana"/>
          <w:caps/>
          <w:sz w:val="24"/>
          <w:szCs w:val="24"/>
        </w:rPr>
        <w:t xml:space="preserve">opartego na systemie SAP </w:t>
      </w:r>
    </w:p>
    <w:p w:rsidR="00623D13" w:rsidRPr="00810A99" w:rsidRDefault="00752039" w:rsidP="00752039">
      <w:pPr>
        <w:spacing w:after="0" w:line="240" w:lineRule="auto"/>
        <w:jc w:val="center"/>
        <w:rPr>
          <w:rFonts w:ascii="Verdana" w:hAnsi="Verdana"/>
          <w:caps/>
          <w:sz w:val="24"/>
          <w:szCs w:val="24"/>
        </w:rPr>
      </w:pPr>
      <w:r w:rsidRPr="00752039">
        <w:rPr>
          <w:rFonts w:ascii="Verdana" w:hAnsi="Verdana"/>
          <w:caps/>
          <w:sz w:val="24"/>
          <w:szCs w:val="24"/>
        </w:rPr>
        <w:t>w Zakładzie Ubezpieczeń Społecznych</w:t>
      </w:r>
    </w:p>
    <w:p w:rsidR="00623D13" w:rsidRPr="00F27DFA" w:rsidRDefault="00606588" w:rsidP="0038556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Opis przedmiotu zamówienia:</w:t>
      </w:r>
    </w:p>
    <w:p w:rsidR="007F2516" w:rsidRPr="00FC7AB5" w:rsidRDefault="00623D13" w:rsidP="004752D9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Verdana" w:hAnsi="Verdana"/>
          <w:sz w:val="18"/>
          <w:szCs w:val="18"/>
          <w:lang w:eastAsia="ar-SA"/>
        </w:rPr>
      </w:pPr>
      <w:r w:rsidRPr="00FC7AB5">
        <w:rPr>
          <w:rFonts w:ascii="Verdana" w:hAnsi="Verdana"/>
          <w:sz w:val="18"/>
          <w:szCs w:val="18"/>
          <w:lang w:eastAsia="ar-SA"/>
        </w:rPr>
        <w:t>Przedmiotem zamówienia jest</w:t>
      </w:r>
    </w:p>
    <w:p w:rsidR="00FC7AB5" w:rsidRPr="00307112" w:rsidRDefault="00FC7AB5" w:rsidP="004752D9">
      <w:pPr>
        <w:widowControl w:val="0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307112">
        <w:rPr>
          <w:rFonts w:ascii="Calibri" w:hAnsi="Calibri"/>
          <w:i/>
        </w:rPr>
        <w:t>Przedmiotem zamówienia jest:</w:t>
      </w:r>
    </w:p>
    <w:p w:rsidR="00FC7AB5" w:rsidRPr="00307112" w:rsidRDefault="00FC7AB5" w:rsidP="004752D9">
      <w:pPr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307112">
        <w:rPr>
          <w:rFonts w:ascii="Calibri" w:hAnsi="Calibri"/>
          <w:i/>
        </w:rPr>
        <w:t>Świadczenie Usługi wsparcia utrzymania Systemu Wspomagania Ekonomiki Zakładu (SWEZ) opartego na oprogramowaniu SAP</w:t>
      </w:r>
      <w:r w:rsidR="00772FB3">
        <w:rPr>
          <w:rFonts w:ascii="Calibri" w:hAnsi="Calibri"/>
          <w:i/>
        </w:rPr>
        <w:t>.</w:t>
      </w:r>
    </w:p>
    <w:p w:rsidR="00FC7AB5" w:rsidRPr="00307112" w:rsidRDefault="00FC7AB5" w:rsidP="004752D9">
      <w:pPr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307112">
        <w:rPr>
          <w:rFonts w:ascii="Calibri" w:hAnsi="Calibri"/>
          <w:i/>
        </w:rPr>
        <w:t>Świadczenie Usługi obsługi Zgłoszeń Serwisowych Systemu Wspomagania Ekonomiki Zakładu (SWEZ) opartego na oprogramowaniu SAP</w:t>
      </w:r>
      <w:r w:rsidR="00772FB3">
        <w:rPr>
          <w:rFonts w:ascii="Calibri" w:hAnsi="Calibri"/>
          <w:i/>
        </w:rPr>
        <w:t>.</w:t>
      </w:r>
    </w:p>
    <w:p w:rsidR="00FC7AB5" w:rsidRPr="00307112" w:rsidRDefault="00FC7AB5" w:rsidP="004752D9">
      <w:pPr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307112">
        <w:rPr>
          <w:rFonts w:ascii="Calibri" w:hAnsi="Calibri"/>
          <w:i/>
        </w:rPr>
        <w:t>Świadczenie Usługi realizacji Zleceń dodatkowych</w:t>
      </w:r>
      <w:r w:rsidR="00772FB3">
        <w:rPr>
          <w:rFonts w:ascii="Calibri" w:hAnsi="Calibri"/>
          <w:i/>
        </w:rPr>
        <w:t>.</w:t>
      </w:r>
    </w:p>
    <w:p w:rsidR="00FC7AB5" w:rsidRPr="00307112" w:rsidRDefault="00FC7AB5" w:rsidP="004752D9">
      <w:pPr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307112">
        <w:rPr>
          <w:rFonts w:ascii="Calibri" w:hAnsi="Calibri"/>
          <w:i/>
        </w:rPr>
        <w:t>Udostępnienie administratorów systemów SAP (</w:t>
      </w:r>
      <w:proofErr w:type="spellStart"/>
      <w:r w:rsidRPr="00307112">
        <w:rPr>
          <w:rFonts w:ascii="Calibri" w:hAnsi="Calibri"/>
          <w:i/>
        </w:rPr>
        <w:t>Basis</w:t>
      </w:r>
      <w:proofErr w:type="spellEnd"/>
      <w:r w:rsidRPr="00307112">
        <w:rPr>
          <w:rFonts w:ascii="Calibri" w:hAnsi="Calibri"/>
          <w:i/>
        </w:rPr>
        <w:t xml:space="preserve">); </w:t>
      </w:r>
    </w:p>
    <w:p w:rsidR="00FC7AB5" w:rsidRPr="00307112" w:rsidRDefault="00FC7AB5" w:rsidP="004752D9">
      <w:pPr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307112">
        <w:rPr>
          <w:rFonts w:ascii="Calibri" w:hAnsi="Calibri"/>
          <w:i/>
        </w:rPr>
        <w:t>Przejęcie i przekazanie świadczenia usług wymienionych w pkt. a. i b.</w:t>
      </w:r>
    </w:p>
    <w:p w:rsidR="00FC7AB5" w:rsidRPr="00307112" w:rsidRDefault="00FC7AB5" w:rsidP="004752D9">
      <w:pPr>
        <w:widowControl w:val="0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307112">
        <w:rPr>
          <w:rFonts w:ascii="Calibri" w:hAnsi="Calibri"/>
          <w:i/>
        </w:rPr>
        <w:t>Świadczenie Usługi wsparcia utrzymania SWEZ obejmuje:</w:t>
      </w:r>
    </w:p>
    <w:p w:rsidR="003A594B" w:rsidRPr="003A594B" w:rsidRDefault="00FC7AB5" w:rsidP="003A594B">
      <w:pPr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Wsparcie Zamawiającego w z</w:t>
      </w:r>
      <w:r w:rsidRPr="00307112">
        <w:rPr>
          <w:rFonts w:ascii="Calibri" w:hAnsi="Calibri"/>
          <w:i/>
        </w:rPr>
        <w:t>apewnieni</w:t>
      </w:r>
      <w:r>
        <w:rPr>
          <w:rFonts w:ascii="Calibri" w:hAnsi="Calibri"/>
          <w:i/>
        </w:rPr>
        <w:t>u</w:t>
      </w:r>
      <w:r w:rsidRPr="00307112">
        <w:rPr>
          <w:rFonts w:ascii="Calibri" w:hAnsi="Calibri"/>
          <w:i/>
        </w:rPr>
        <w:t xml:space="preserve"> produkcyjnego działania SWEZ w zakresie wszystkich systemów SAP wchodzących w jego skład zarówno produkcyjnych jak i nieprodukcyjnych oraz interfejsów między SWEZ i </w:t>
      </w:r>
      <w:r>
        <w:rPr>
          <w:rFonts w:ascii="Calibri" w:hAnsi="Calibri"/>
          <w:i/>
        </w:rPr>
        <w:t xml:space="preserve">innymi </w:t>
      </w:r>
      <w:r w:rsidRPr="00307112">
        <w:rPr>
          <w:rFonts w:ascii="Calibri" w:hAnsi="Calibri"/>
          <w:i/>
        </w:rPr>
        <w:t xml:space="preserve">systemami </w:t>
      </w:r>
      <w:r>
        <w:rPr>
          <w:rFonts w:ascii="Calibri" w:hAnsi="Calibri"/>
          <w:i/>
        </w:rPr>
        <w:t xml:space="preserve">ZUS oraz systemami </w:t>
      </w:r>
      <w:r w:rsidRPr="00307112">
        <w:rPr>
          <w:rFonts w:ascii="Calibri" w:hAnsi="Calibri"/>
          <w:i/>
        </w:rPr>
        <w:t>zewnętrznymi na określonym poziomie, z wyłączeniem: infrastruktury sprzętowej, infrastruktury sieciowej, oprogramowania systemowego i narzędziowego niewchodzą</w:t>
      </w:r>
      <w:r w:rsidR="003A594B">
        <w:rPr>
          <w:rFonts w:ascii="Calibri" w:hAnsi="Calibri"/>
          <w:i/>
        </w:rPr>
        <w:t>cego w skład oprogramowania SAP</w:t>
      </w:r>
      <w:r w:rsidR="00772FB3">
        <w:rPr>
          <w:rFonts w:ascii="Calibri" w:hAnsi="Calibri"/>
          <w:i/>
        </w:rPr>
        <w:t>.</w:t>
      </w:r>
    </w:p>
    <w:p w:rsidR="00FC7AB5" w:rsidRDefault="00FC7AB5" w:rsidP="004752D9">
      <w:pPr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307112">
        <w:rPr>
          <w:rFonts w:ascii="Calibri" w:hAnsi="Calibri"/>
          <w:i/>
        </w:rPr>
        <w:t>Wsparcie Zamawiającego w czynnościach administrowania systemami SAP w obszarze systemów S</w:t>
      </w:r>
      <w:r w:rsidR="003A594B">
        <w:rPr>
          <w:rFonts w:ascii="Calibri" w:hAnsi="Calibri"/>
          <w:i/>
        </w:rPr>
        <w:t>AP, baz danych oraz interfejsów</w:t>
      </w:r>
      <w:r w:rsidR="00772FB3">
        <w:rPr>
          <w:rFonts w:ascii="Calibri" w:hAnsi="Calibri"/>
          <w:i/>
        </w:rPr>
        <w:t>.</w:t>
      </w:r>
    </w:p>
    <w:p w:rsidR="00C059B4" w:rsidRPr="00307112" w:rsidRDefault="00C059B4" w:rsidP="004752D9">
      <w:pPr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Wsparcie </w:t>
      </w:r>
      <w:r w:rsidR="001728F3">
        <w:rPr>
          <w:rFonts w:ascii="Calibri" w:hAnsi="Calibri"/>
          <w:i/>
        </w:rPr>
        <w:t>będzie</w:t>
      </w:r>
      <w:r>
        <w:rPr>
          <w:rFonts w:ascii="Calibri" w:hAnsi="Calibri"/>
          <w:i/>
        </w:rPr>
        <w:t xml:space="preserve"> realizowane w dni </w:t>
      </w:r>
      <w:r w:rsidR="003A594B">
        <w:rPr>
          <w:rFonts w:ascii="Calibri" w:hAnsi="Calibri"/>
          <w:i/>
        </w:rPr>
        <w:t>robocze w godz.7-18.</w:t>
      </w:r>
    </w:p>
    <w:p w:rsidR="00FC7AB5" w:rsidRPr="00307112" w:rsidRDefault="00FC7AB5" w:rsidP="004752D9">
      <w:pPr>
        <w:widowControl w:val="0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307112">
        <w:rPr>
          <w:rFonts w:ascii="Calibri" w:hAnsi="Calibri"/>
          <w:i/>
        </w:rPr>
        <w:t>Świadczenie Usługi obsługi Zgłoszeń Serwisowych SWEZ obejmuje:</w:t>
      </w:r>
    </w:p>
    <w:p w:rsidR="00FC7AB5" w:rsidRPr="00307112" w:rsidRDefault="00FC7AB5" w:rsidP="004752D9">
      <w:pPr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307112">
        <w:rPr>
          <w:rFonts w:ascii="Calibri" w:hAnsi="Calibri"/>
          <w:i/>
        </w:rPr>
        <w:t xml:space="preserve">Zapewnienie obsługi Zgłoszeń Serwisowych SWEZ dotyczących </w:t>
      </w:r>
      <w:r w:rsidR="001728F3">
        <w:rPr>
          <w:rFonts w:ascii="Calibri" w:hAnsi="Calibri"/>
          <w:i/>
        </w:rPr>
        <w:t>i</w:t>
      </w:r>
      <w:r w:rsidRPr="00307112">
        <w:rPr>
          <w:rFonts w:ascii="Calibri" w:hAnsi="Calibri"/>
          <w:i/>
        </w:rPr>
        <w:t xml:space="preserve">ncydentów związanych z działaniem SWEZ w okresie świadczenia usługi na określonym poziomie. </w:t>
      </w:r>
      <w:r w:rsidR="001728F3">
        <w:rPr>
          <w:rFonts w:ascii="Calibri" w:hAnsi="Calibri"/>
          <w:i/>
        </w:rPr>
        <w:t xml:space="preserve">Wykonawca musi zapewnić obsługę </w:t>
      </w:r>
      <w:r w:rsidRPr="00307112">
        <w:rPr>
          <w:rFonts w:ascii="Calibri" w:hAnsi="Calibri"/>
          <w:i/>
        </w:rPr>
        <w:t xml:space="preserve">Zgłoszeń Serwisowych </w:t>
      </w:r>
      <w:r w:rsidR="001728F3">
        <w:rPr>
          <w:rFonts w:ascii="Calibri" w:hAnsi="Calibri"/>
          <w:i/>
        </w:rPr>
        <w:t>zgodnie z SLA. Zamawiający ma prawo zgłosić 60 zgłoszeń miesięcznie.</w:t>
      </w:r>
    </w:p>
    <w:p w:rsidR="00FC7AB5" w:rsidRPr="00307112" w:rsidRDefault="00FC7AB5" w:rsidP="004752D9">
      <w:pPr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307112">
        <w:rPr>
          <w:rFonts w:ascii="Calibri" w:hAnsi="Calibri"/>
          <w:i/>
        </w:rPr>
        <w:t xml:space="preserve">W ramach obsługi zgłoszeń zapewnienie: rejestracji Zgłoszenia Serwisowego, klasyfikacji, zidentyfikowania przyczyn wystąpienia </w:t>
      </w:r>
      <w:r w:rsidR="001728F3">
        <w:rPr>
          <w:rFonts w:ascii="Calibri" w:hAnsi="Calibri"/>
          <w:i/>
        </w:rPr>
        <w:t>i</w:t>
      </w:r>
      <w:r w:rsidRPr="00307112">
        <w:rPr>
          <w:rFonts w:ascii="Calibri" w:hAnsi="Calibri"/>
          <w:i/>
        </w:rPr>
        <w:t>ncydentu, przekazania wyników diagnozy, udostępnienia rozwiązania, nadzorowania implementacji rozwiązania oraz wsparcia weryfikacji skuteczności implementacji poprawek, usunięcia skutków błędu, przygotowania dokumentacji Zgłoszenia Serwisowego, aktualizacji dokumentacji (projektowej, instalacyjno-konfiguracyjnej, administracyjnej i eksploatacyjnej)</w:t>
      </w:r>
      <w:r w:rsidR="001728F3">
        <w:rPr>
          <w:rFonts w:ascii="Calibri" w:hAnsi="Calibri"/>
          <w:i/>
        </w:rPr>
        <w:t xml:space="preserve"> – jeśli dotyczy</w:t>
      </w:r>
      <w:r w:rsidRPr="00307112">
        <w:rPr>
          <w:rFonts w:ascii="Calibri" w:hAnsi="Calibri"/>
          <w:i/>
        </w:rPr>
        <w:t>.</w:t>
      </w:r>
    </w:p>
    <w:p w:rsidR="003A594B" w:rsidRDefault="00FC7AB5" w:rsidP="003A594B">
      <w:pPr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307112">
        <w:rPr>
          <w:rFonts w:ascii="Calibri" w:hAnsi="Calibri"/>
          <w:i/>
        </w:rPr>
        <w:t>Zapewnienie komunikacji w ramach usługi poprzez systemy informatyczne Wykonawcy i Zamawiającego, które zostaną zintegrowane w ramach nini</w:t>
      </w:r>
      <w:r w:rsidR="003A594B">
        <w:rPr>
          <w:rFonts w:ascii="Calibri" w:hAnsi="Calibri"/>
          <w:i/>
        </w:rPr>
        <w:t>ejszego zamówienia</w:t>
      </w:r>
      <w:r w:rsidR="00772FB3">
        <w:rPr>
          <w:rFonts w:ascii="Calibri" w:hAnsi="Calibri"/>
          <w:i/>
        </w:rPr>
        <w:t>.</w:t>
      </w:r>
      <w:r w:rsidR="003A594B">
        <w:rPr>
          <w:rFonts w:ascii="Calibri" w:hAnsi="Calibri"/>
          <w:i/>
        </w:rPr>
        <w:t xml:space="preserve"> </w:t>
      </w:r>
    </w:p>
    <w:p w:rsidR="003A594B" w:rsidRPr="00F621C7" w:rsidRDefault="00772FB3" w:rsidP="003A594B">
      <w:pPr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W</w:t>
      </w:r>
      <w:r w:rsidR="003A594B" w:rsidRPr="00F621C7">
        <w:rPr>
          <w:i/>
        </w:rPr>
        <w:t xml:space="preserve">ykonawca odpowiada za naprawę wszystkich błędów w SWEZ z wyłączeniem wymienionych w </w:t>
      </w:r>
      <w:proofErr w:type="spellStart"/>
      <w:r w:rsidR="003A594B" w:rsidRPr="00F621C7">
        <w:rPr>
          <w:i/>
        </w:rPr>
        <w:t>pkt.e</w:t>
      </w:r>
      <w:proofErr w:type="spellEnd"/>
      <w:r w:rsidR="003A594B" w:rsidRPr="00F621C7">
        <w:rPr>
          <w:i/>
        </w:rPr>
        <w:t>.</w:t>
      </w:r>
    </w:p>
    <w:p w:rsidR="003A594B" w:rsidRPr="00F621C7" w:rsidRDefault="00772FB3" w:rsidP="00F621C7">
      <w:pPr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>
        <w:rPr>
          <w:i/>
        </w:rPr>
        <w:t>W</w:t>
      </w:r>
      <w:r w:rsidR="003A594B" w:rsidRPr="00F621C7">
        <w:rPr>
          <w:i/>
        </w:rPr>
        <w:t>ykonawca nie odpowiada za naprawy błędów w następujących elementach SWEZ:</w:t>
      </w:r>
      <w:r w:rsidR="00F621C7" w:rsidRPr="00F621C7">
        <w:rPr>
          <w:rFonts w:ascii="Calibri" w:hAnsi="Calibri"/>
          <w:i/>
        </w:rPr>
        <w:t xml:space="preserve"> i</w:t>
      </w:r>
      <w:r w:rsidR="00F621C7" w:rsidRPr="00F621C7">
        <w:rPr>
          <w:i/>
        </w:rPr>
        <w:t xml:space="preserve">nfrastruktura sprzętowa, </w:t>
      </w:r>
      <w:r>
        <w:rPr>
          <w:i/>
        </w:rPr>
        <w:t>i</w:t>
      </w:r>
      <w:r w:rsidR="00F621C7" w:rsidRPr="00F621C7">
        <w:rPr>
          <w:i/>
        </w:rPr>
        <w:t>nfrastruktura sieciowa,</w:t>
      </w:r>
      <w:r w:rsidR="00F621C7" w:rsidRPr="00F621C7">
        <w:rPr>
          <w:rFonts w:ascii="Calibri" w:hAnsi="Calibri"/>
          <w:i/>
        </w:rPr>
        <w:t xml:space="preserve"> o</w:t>
      </w:r>
      <w:r w:rsidR="003A594B" w:rsidRPr="00F621C7">
        <w:rPr>
          <w:i/>
        </w:rPr>
        <w:t>programowanie systemowe nie wchodzące w skład oprogramowania SAP i niebędące rozwiązaniem</w:t>
      </w:r>
      <w:r w:rsidR="00F621C7">
        <w:rPr>
          <w:i/>
        </w:rPr>
        <w:t xml:space="preserve"> </w:t>
      </w:r>
      <w:r w:rsidR="003A594B" w:rsidRPr="00F621C7">
        <w:rPr>
          <w:i/>
        </w:rPr>
        <w:t>klienckim</w:t>
      </w:r>
      <w:r w:rsidR="00F621C7">
        <w:rPr>
          <w:i/>
        </w:rPr>
        <w:t xml:space="preserve"> SWEZ, </w:t>
      </w:r>
      <w:r w:rsidR="00F621C7" w:rsidRPr="00F621C7">
        <w:rPr>
          <w:i/>
        </w:rPr>
        <w:t>o</w:t>
      </w:r>
      <w:r w:rsidR="003A594B" w:rsidRPr="00F621C7">
        <w:rPr>
          <w:i/>
        </w:rPr>
        <w:t>programowanie narzędziowe nie wchodzące w skład oprogramowania SAP i niebęd</w:t>
      </w:r>
      <w:r w:rsidR="00F621C7" w:rsidRPr="00F621C7">
        <w:rPr>
          <w:i/>
        </w:rPr>
        <w:t>ące rozwiązaniem klienckim SWEZ, s</w:t>
      </w:r>
      <w:r w:rsidR="003A594B" w:rsidRPr="00F621C7">
        <w:rPr>
          <w:i/>
        </w:rPr>
        <w:t xml:space="preserve">tandardowe oprogramowanie SAP – jeśli błąd kwalifikuje się do zgłoszenia </w:t>
      </w:r>
      <w:r w:rsidR="003A594B" w:rsidRPr="00F621C7">
        <w:rPr>
          <w:i/>
        </w:rPr>
        <w:lastRenderedPageBreak/>
        <w:t xml:space="preserve">do </w:t>
      </w:r>
      <w:r w:rsidR="00264A87">
        <w:rPr>
          <w:i/>
        </w:rPr>
        <w:t>producenta oprogramowania SAP</w:t>
      </w:r>
      <w:r>
        <w:rPr>
          <w:i/>
        </w:rPr>
        <w:t>,</w:t>
      </w:r>
      <w:r w:rsidR="00F621C7">
        <w:rPr>
          <w:i/>
        </w:rPr>
        <w:t xml:space="preserve"> </w:t>
      </w:r>
      <w:r w:rsidR="003A594B" w:rsidRPr="00F621C7">
        <w:rPr>
          <w:i/>
        </w:rPr>
        <w:t>o ile błędy te nie są następstwem działania Wykonawcy.</w:t>
      </w:r>
    </w:p>
    <w:p w:rsidR="003A594B" w:rsidRPr="003A594B" w:rsidRDefault="003A594B" w:rsidP="003A594B">
      <w:pPr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SLA</w:t>
      </w:r>
    </w:p>
    <w:tbl>
      <w:tblPr>
        <w:tblW w:w="88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1"/>
        <w:gridCol w:w="2240"/>
        <w:gridCol w:w="2360"/>
        <w:gridCol w:w="2005"/>
      </w:tblGrid>
      <w:tr w:rsidR="003A594B" w:rsidTr="00233D40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4B" w:rsidRPr="00233D40" w:rsidRDefault="003A594B">
            <w:pPr>
              <w:spacing w:line="320" w:lineRule="exact"/>
              <w:jc w:val="both"/>
              <w:rPr>
                <w:rFonts w:ascii="Calibri" w:hAnsi="Calibri"/>
                <w:b/>
                <w:i/>
              </w:rPr>
            </w:pPr>
            <w:r w:rsidRPr="00233D40">
              <w:rPr>
                <w:rFonts w:ascii="Calibri" w:hAnsi="Calibri"/>
                <w:b/>
                <w:i/>
              </w:rPr>
              <w:t>Priorytet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4B" w:rsidRPr="00233D40" w:rsidRDefault="003A594B">
            <w:pPr>
              <w:spacing w:line="320" w:lineRule="exact"/>
              <w:jc w:val="both"/>
              <w:rPr>
                <w:rFonts w:ascii="Calibri" w:hAnsi="Calibri"/>
                <w:b/>
                <w:i/>
              </w:rPr>
            </w:pPr>
            <w:r w:rsidRPr="00233D40">
              <w:rPr>
                <w:rFonts w:ascii="Calibri" w:hAnsi="Calibri"/>
                <w:b/>
                <w:i/>
              </w:rPr>
              <w:t>Czas reakcji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4B" w:rsidRPr="00233D40" w:rsidRDefault="003A594B">
            <w:pPr>
              <w:spacing w:line="320" w:lineRule="exact"/>
              <w:jc w:val="both"/>
              <w:rPr>
                <w:rFonts w:ascii="Calibri" w:hAnsi="Calibri"/>
                <w:b/>
                <w:i/>
              </w:rPr>
            </w:pPr>
            <w:r w:rsidRPr="00233D40">
              <w:rPr>
                <w:rFonts w:ascii="Calibri" w:hAnsi="Calibri"/>
                <w:b/>
                <w:i/>
              </w:rPr>
              <w:t>Czynność diagnozy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4B" w:rsidRPr="00233D40" w:rsidRDefault="003A594B">
            <w:pPr>
              <w:spacing w:line="320" w:lineRule="exact"/>
              <w:jc w:val="both"/>
              <w:rPr>
                <w:rFonts w:ascii="Calibri" w:hAnsi="Calibri"/>
                <w:b/>
                <w:i/>
              </w:rPr>
            </w:pPr>
            <w:r w:rsidRPr="00233D40">
              <w:rPr>
                <w:rFonts w:ascii="Calibri" w:hAnsi="Calibri"/>
                <w:b/>
                <w:i/>
              </w:rPr>
              <w:t>Czas udostępnienia obejścia lub rozwiązania/czas realizacji</w:t>
            </w:r>
          </w:p>
        </w:tc>
      </w:tr>
      <w:tr w:rsidR="003A594B" w:rsidTr="00233D40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4B" w:rsidRPr="00233D40" w:rsidRDefault="003A594B">
            <w:pPr>
              <w:spacing w:line="320" w:lineRule="exact"/>
              <w:jc w:val="both"/>
              <w:rPr>
                <w:rFonts w:ascii="Calibri" w:hAnsi="Calibri"/>
                <w:i/>
              </w:rPr>
            </w:pPr>
            <w:r w:rsidRPr="00233D40">
              <w:rPr>
                <w:rFonts w:ascii="Calibri" w:hAnsi="Calibri"/>
                <w:i/>
              </w:rPr>
              <w:t>inny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4B" w:rsidRPr="00233D40" w:rsidRDefault="003A594B">
            <w:pPr>
              <w:spacing w:line="320" w:lineRule="exact"/>
              <w:jc w:val="both"/>
              <w:rPr>
                <w:rFonts w:ascii="Calibri" w:hAnsi="Calibri"/>
                <w:i/>
              </w:rPr>
            </w:pPr>
            <w:r w:rsidRPr="00233D40">
              <w:rPr>
                <w:rFonts w:ascii="Calibri" w:hAnsi="Calibri"/>
                <w:i/>
              </w:rPr>
              <w:t>30 min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4B" w:rsidRPr="00233D40" w:rsidRDefault="003A594B" w:rsidP="00521098">
            <w:pPr>
              <w:spacing w:line="320" w:lineRule="exact"/>
              <w:jc w:val="both"/>
              <w:rPr>
                <w:rFonts w:ascii="Calibri" w:hAnsi="Calibri"/>
                <w:i/>
              </w:rPr>
            </w:pPr>
            <w:r w:rsidRPr="00233D40">
              <w:rPr>
                <w:rFonts w:ascii="Calibri" w:hAnsi="Calibri"/>
                <w:i/>
              </w:rPr>
              <w:t xml:space="preserve">10 </w:t>
            </w:r>
            <w:r w:rsidR="00521098">
              <w:rPr>
                <w:rFonts w:ascii="Calibri" w:hAnsi="Calibri"/>
                <w:i/>
              </w:rPr>
              <w:t>d</w:t>
            </w:r>
            <w:r w:rsidRPr="00233D40">
              <w:rPr>
                <w:rFonts w:ascii="Calibri" w:hAnsi="Calibri"/>
                <w:i/>
              </w:rPr>
              <w:t>ni roboczych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4B" w:rsidRPr="00233D40" w:rsidRDefault="003A594B" w:rsidP="00521098">
            <w:pPr>
              <w:spacing w:line="320" w:lineRule="exact"/>
              <w:jc w:val="both"/>
              <w:rPr>
                <w:rFonts w:ascii="Calibri" w:hAnsi="Calibri"/>
                <w:i/>
              </w:rPr>
            </w:pPr>
            <w:r w:rsidRPr="00233D40">
              <w:rPr>
                <w:rFonts w:ascii="Calibri" w:hAnsi="Calibri"/>
                <w:i/>
              </w:rPr>
              <w:t xml:space="preserve">10 </w:t>
            </w:r>
            <w:r w:rsidR="00521098">
              <w:rPr>
                <w:rFonts w:ascii="Calibri" w:hAnsi="Calibri"/>
                <w:i/>
              </w:rPr>
              <w:t>d</w:t>
            </w:r>
            <w:r w:rsidRPr="00233D40">
              <w:rPr>
                <w:rFonts w:ascii="Calibri" w:hAnsi="Calibri"/>
                <w:i/>
              </w:rPr>
              <w:t>ni roboczych</w:t>
            </w:r>
          </w:p>
        </w:tc>
      </w:tr>
      <w:tr w:rsidR="003A594B" w:rsidTr="00233D40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4B" w:rsidRPr="00233D40" w:rsidRDefault="003A594B">
            <w:pPr>
              <w:spacing w:line="320" w:lineRule="exact"/>
              <w:jc w:val="both"/>
              <w:rPr>
                <w:rFonts w:ascii="Calibri" w:hAnsi="Calibri"/>
                <w:i/>
              </w:rPr>
            </w:pPr>
            <w:r w:rsidRPr="00233D40">
              <w:rPr>
                <w:rFonts w:ascii="Calibri" w:hAnsi="Calibri"/>
                <w:i/>
              </w:rPr>
              <w:t>istotny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4B" w:rsidRPr="00233D40" w:rsidRDefault="003A594B">
            <w:pPr>
              <w:spacing w:line="320" w:lineRule="exact"/>
              <w:jc w:val="both"/>
              <w:rPr>
                <w:rFonts w:ascii="Calibri" w:hAnsi="Calibri"/>
                <w:i/>
              </w:rPr>
            </w:pPr>
            <w:r w:rsidRPr="00233D40">
              <w:rPr>
                <w:rFonts w:ascii="Calibri" w:hAnsi="Calibri"/>
                <w:i/>
              </w:rPr>
              <w:t>30 min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4B" w:rsidRPr="00233D40" w:rsidRDefault="003A594B" w:rsidP="00521098">
            <w:pPr>
              <w:spacing w:line="320" w:lineRule="exact"/>
              <w:jc w:val="both"/>
              <w:rPr>
                <w:rFonts w:ascii="Calibri" w:hAnsi="Calibri"/>
                <w:i/>
              </w:rPr>
            </w:pPr>
            <w:r w:rsidRPr="00233D40">
              <w:rPr>
                <w:rFonts w:ascii="Calibri" w:hAnsi="Calibri"/>
                <w:i/>
              </w:rPr>
              <w:t xml:space="preserve">3 </w:t>
            </w:r>
            <w:r w:rsidR="00521098">
              <w:rPr>
                <w:rFonts w:ascii="Calibri" w:hAnsi="Calibri"/>
                <w:i/>
              </w:rPr>
              <w:t>d</w:t>
            </w:r>
            <w:r w:rsidRPr="00233D40">
              <w:rPr>
                <w:rFonts w:ascii="Calibri" w:hAnsi="Calibri"/>
                <w:i/>
              </w:rPr>
              <w:t>ni robocze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4B" w:rsidRPr="00233D40" w:rsidRDefault="003A594B" w:rsidP="00521098">
            <w:pPr>
              <w:spacing w:line="320" w:lineRule="exact"/>
              <w:jc w:val="both"/>
              <w:rPr>
                <w:rFonts w:ascii="Calibri" w:hAnsi="Calibri"/>
                <w:i/>
              </w:rPr>
            </w:pPr>
            <w:r w:rsidRPr="00233D40">
              <w:rPr>
                <w:rFonts w:ascii="Calibri" w:hAnsi="Calibri"/>
                <w:i/>
              </w:rPr>
              <w:t xml:space="preserve">6 </w:t>
            </w:r>
            <w:r w:rsidR="00521098">
              <w:rPr>
                <w:rFonts w:ascii="Calibri" w:hAnsi="Calibri"/>
                <w:i/>
              </w:rPr>
              <w:t>d</w:t>
            </w:r>
            <w:r w:rsidRPr="00233D40">
              <w:rPr>
                <w:rFonts w:ascii="Calibri" w:hAnsi="Calibri"/>
                <w:i/>
              </w:rPr>
              <w:t>ni roboczych</w:t>
            </w:r>
          </w:p>
        </w:tc>
      </w:tr>
      <w:tr w:rsidR="003A594B" w:rsidTr="00233D40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4B" w:rsidRPr="00233D40" w:rsidRDefault="003A594B">
            <w:pPr>
              <w:spacing w:line="320" w:lineRule="exact"/>
              <w:jc w:val="both"/>
              <w:rPr>
                <w:rFonts w:ascii="Calibri" w:hAnsi="Calibri"/>
                <w:i/>
              </w:rPr>
            </w:pPr>
            <w:r w:rsidRPr="00233D40">
              <w:rPr>
                <w:rFonts w:ascii="Calibri" w:hAnsi="Calibri"/>
                <w:i/>
              </w:rPr>
              <w:t>krytyczny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4B" w:rsidRPr="00233D40" w:rsidRDefault="003A594B">
            <w:pPr>
              <w:spacing w:line="320" w:lineRule="exact"/>
              <w:jc w:val="both"/>
              <w:rPr>
                <w:rFonts w:ascii="Calibri" w:hAnsi="Calibri"/>
                <w:i/>
              </w:rPr>
            </w:pPr>
            <w:r w:rsidRPr="00233D40">
              <w:rPr>
                <w:rFonts w:ascii="Calibri" w:hAnsi="Calibri"/>
                <w:i/>
              </w:rPr>
              <w:t>30 min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4B" w:rsidRPr="00233D40" w:rsidRDefault="003A594B">
            <w:pPr>
              <w:spacing w:line="320" w:lineRule="exact"/>
              <w:jc w:val="both"/>
              <w:rPr>
                <w:rFonts w:ascii="Calibri" w:hAnsi="Calibri"/>
                <w:i/>
              </w:rPr>
            </w:pPr>
            <w:r w:rsidRPr="00233D40">
              <w:rPr>
                <w:rFonts w:ascii="Calibri" w:hAnsi="Calibri"/>
                <w:i/>
              </w:rPr>
              <w:t>6 godzin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4B" w:rsidRPr="00233D40" w:rsidRDefault="003A594B">
            <w:pPr>
              <w:spacing w:line="320" w:lineRule="exact"/>
              <w:jc w:val="both"/>
              <w:rPr>
                <w:rFonts w:ascii="Calibri" w:hAnsi="Calibri"/>
                <w:i/>
              </w:rPr>
            </w:pPr>
            <w:r w:rsidRPr="00233D40">
              <w:rPr>
                <w:rFonts w:ascii="Calibri" w:hAnsi="Calibri"/>
                <w:i/>
              </w:rPr>
              <w:t>16 godzin</w:t>
            </w:r>
          </w:p>
        </w:tc>
      </w:tr>
      <w:tr w:rsidR="003A594B" w:rsidTr="00233D40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4B" w:rsidRPr="00233D40" w:rsidRDefault="003A594B">
            <w:pPr>
              <w:spacing w:line="320" w:lineRule="exact"/>
              <w:jc w:val="both"/>
              <w:rPr>
                <w:rFonts w:ascii="Calibri" w:hAnsi="Calibri"/>
                <w:i/>
              </w:rPr>
            </w:pPr>
            <w:r w:rsidRPr="00233D40">
              <w:rPr>
                <w:rFonts w:ascii="Calibri" w:hAnsi="Calibri"/>
                <w:i/>
              </w:rPr>
              <w:t>zamówienie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4B" w:rsidRPr="00233D40" w:rsidRDefault="003A594B">
            <w:pPr>
              <w:spacing w:line="320" w:lineRule="exact"/>
              <w:jc w:val="both"/>
              <w:rPr>
                <w:rFonts w:ascii="Calibri" w:hAnsi="Calibri"/>
                <w:i/>
              </w:rPr>
            </w:pPr>
            <w:r w:rsidRPr="00233D40">
              <w:rPr>
                <w:rFonts w:ascii="Calibri" w:hAnsi="Calibri"/>
                <w:i/>
              </w:rPr>
              <w:t>30 min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4B" w:rsidRPr="00233D40" w:rsidRDefault="003A594B">
            <w:pPr>
              <w:spacing w:line="320" w:lineRule="exact"/>
              <w:jc w:val="both"/>
              <w:rPr>
                <w:rFonts w:ascii="Calibri" w:hAnsi="Calibri"/>
                <w:i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4B" w:rsidRPr="00233D40" w:rsidRDefault="003A594B">
            <w:pPr>
              <w:spacing w:line="320" w:lineRule="exact"/>
              <w:jc w:val="both"/>
              <w:rPr>
                <w:rFonts w:ascii="Calibri" w:hAnsi="Calibri"/>
                <w:i/>
              </w:rPr>
            </w:pPr>
            <w:r w:rsidRPr="00233D40">
              <w:rPr>
                <w:rFonts w:ascii="Calibri" w:hAnsi="Calibri"/>
                <w:i/>
              </w:rPr>
              <w:t>10 dni roboczych</w:t>
            </w:r>
          </w:p>
        </w:tc>
      </w:tr>
      <w:tr w:rsidR="00233D40" w:rsidTr="00233D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3D40" w:rsidRPr="00233D40" w:rsidRDefault="00233D40">
            <w:pPr>
              <w:snapToGrid w:val="0"/>
              <w:spacing w:before="120"/>
              <w:ind w:left="141"/>
              <w:rPr>
                <w:rFonts w:ascii="Arial Narrow" w:hAnsi="Arial Narrow" w:cs="Arial"/>
                <w:b/>
                <w:i/>
                <w:lang w:eastAsia="ar-SA"/>
              </w:rPr>
            </w:pPr>
            <w:r w:rsidRPr="00233D40">
              <w:rPr>
                <w:b/>
                <w:i/>
              </w:rPr>
              <w:t>Incydent Inny</w:t>
            </w:r>
          </w:p>
        </w:tc>
        <w:tc>
          <w:tcPr>
            <w:tcW w:w="6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3D40" w:rsidRPr="00233D40" w:rsidRDefault="00233D40">
            <w:pPr>
              <w:snapToGrid w:val="0"/>
              <w:spacing w:before="120"/>
              <w:ind w:left="57"/>
              <w:rPr>
                <w:rFonts w:ascii="Arial Narrow" w:hAnsi="Arial Narrow" w:cs="Arial"/>
                <w:i/>
                <w:lang w:eastAsia="ar-SA"/>
              </w:rPr>
            </w:pPr>
            <w:r w:rsidRPr="00233D40">
              <w:rPr>
                <w:rFonts w:cs="Times New Roman"/>
                <w:bCs/>
                <w:i/>
                <w:szCs w:val="24"/>
              </w:rPr>
              <w:t>Incydent inny niż Istotny lub Krytyczny.</w:t>
            </w:r>
          </w:p>
        </w:tc>
      </w:tr>
      <w:tr w:rsidR="00233D40" w:rsidTr="00233D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3D40" w:rsidRPr="00233D40" w:rsidRDefault="00233D40">
            <w:pPr>
              <w:snapToGrid w:val="0"/>
              <w:spacing w:before="120"/>
              <w:ind w:left="141"/>
              <w:rPr>
                <w:rFonts w:ascii="Arial Narrow" w:hAnsi="Arial Narrow" w:cs="Arial"/>
                <w:b/>
                <w:i/>
                <w:lang w:eastAsia="ar-SA"/>
              </w:rPr>
            </w:pPr>
            <w:r w:rsidRPr="00233D40">
              <w:rPr>
                <w:b/>
                <w:i/>
              </w:rPr>
              <w:t>Incydent Istotny</w:t>
            </w:r>
          </w:p>
        </w:tc>
        <w:tc>
          <w:tcPr>
            <w:tcW w:w="6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3D40" w:rsidRPr="00233D40" w:rsidRDefault="00233D40" w:rsidP="00772FB3">
            <w:pPr>
              <w:snapToGrid w:val="0"/>
              <w:spacing w:before="120"/>
              <w:ind w:left="57"/>
              <w:rPr>
                <w:rFonts w:ascii="Arial Narrow" w:hAnsi="Arial Narrow" w:cs="Times New Roman"/>
                <w:bCs/>
                <w:i/>
                <w:szCs w:val="24"/>
                <w:lang w:eastAsia="ar-SA"/>
              </w:rPr>
            </w:pPr>
            <w:r w:rsidRPr="00233D40">
              <w:rPr>
                <w:rFonts w:cs="Times New Roman"/>
                <w:bCs/>
                <w:i/>
                <w:szCs w:val="24"/>
              </w:rPr>
              <w:t>Incydent, który utrudnia przebieg procesów biznesowych ZUS (aplikacja dostępna w ograniczonym stopniu), występują problemy z wydajnością lub zagraża terminow</w:t>
            </w:r>
            <w:r w:rsidR="00772FB3">
              <w:rPr>
                <w:rFonts w:cs="Times New Roman"/>
                <w:bCs/>
                <w:i/>
                <w:szCs w:val="24"/>
              </w:rPr>
              <w:t>ej</w:t>
            </w:r>
            <w:r w:rsidRPr="00233D40">
              <w:rPr>
                <w:rFonts w:cs="Times New Roman"/>
                <w:bCs/>
                <w:i/>
                <w:szCs w:val="24"/>
              </w:rPr>
              <w:t xml:space="preserve"> realizacji statutowych zadań ZUS.</w:t>
            </w:r>
          </w:p>
        </w:tc>
      </w:tr>
      <w:tr w:rsidR="00233D40" w:rsidTr="00233D4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0" w:type="dxa"/>
            <w:right w:w="0" w:type="dxa"/>
          </w:tblCellMar>
        </w:tblPrEx>
        <w:trPr>
          <w:trHeight w:val="1024"/>
        </w:trPr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3D40" w:rsidRPr="00233D40" w:rsidRDefault="00233D40">
            <w:pPr>
              <w:snapToGrid w:val="0"/>
              <w:spacing w:before="120"/>
              <w:ind w:left="141"/>
              <w:rPr>
                <w:rFonts w:ascii="Arial Narrow" w:hAnsi="Arial Narrow" w:cs="Arial"/>
                <w:b/>
                <w:i/>
                <w:lang w:eastAsia="ar-SA"/>
              </w:rPr>
            </w:pPr>
            <w:r w:rsidRPr="00233D40">
              <w:rPr>
                <w:b/>
                <w:i/>
              </w:rPr>
              <w:t>Incydent Krytyczny</w:t>
            </w:r>
          </w:p>
        </w:tc>
        <w:tc>
          <w:tcPr>
            <w:tcW w:w="6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33D40" w:rsidRPr="00233D40" w:rsidRDefault="00233D40">
            <w:pPr>
              <w:snapToGrid w:val="0"/>
              <w:spacing w:before="120"/>
              <w:ind w:left="57"/>
              <w:rPr>
                <w:rFonts w:ascii="Arial Narrow" w:hAnsi="Arial Narrow" w:cs="Times New Roman"/>
                <w:bCs/>
                <w:i/>
                <w:szCs w:val="24"/>
                <w:lang w:eastAsia="ar-SA"/>
              </w:rPr>
            </w:pPr>
            <w:r w:rsidRPr="00233D40">
              <w:rPr>
                <w:rFonts w:cs="Times New Roman"/>
                <w:bCs/>
                <w:i/>
                <w:szCs w:val="24"/>
              </w:rPr>
              <w:t xml:space="preserve">Incydent, który w systemie produkcyjnym ZUS poważnie utrudnia lub uniemożliwia przebieg procesów biznesowych (awaria SWEZ /niedostępność SWEZ/brak możliwości realizacji terminowych procesów biznesowych). </w:t>
            </w:r>
          </w:p>
        </w:tc>
      </w:tr>
    </w:tbl>
    <w:p w:rsidR="00233D40" w:rsidRDefault="00233D40" w:rsidP="00233D40">
      <w:pPr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Automatyczna rejestracja zgłoszeń 24</w:t>
      </w:r>
      <w:r w:rsidR="00772FB3">
        <w:rPr>
          <w:rFonts w:ascii="Calibri" w:hAnsi="Calibri"/>
          <w:i/>
        </w:rPr>
        <w:t>h</w:t>
      </w:r>
      <w:r>
        <w:rPr>
          <w:rFonts w:ascii="Calibri" w:hAnsi="Calibri"/>
          <w:i/>
        </w:rPr>
        <w:t>/7</w:t>
      </w:r>
      <w:r w:rsidR="00772FB3">
        <w:rPr>
          <w:rFonts w:ascii="Calibri" w:hAnsi="Calibri"/>
          <w:i/>
        </w:rPr>
        <w:t>h.</w:t>
      </w:r>
    </w:p>
    <w:p w:rsidR="00233D40" w:rsidRDefault="00233D40" w:rsidP="00233D40">
      <w:pPr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Obsługa zgłoszeń jest realizowana w dni robocze w godz.7-18.</w:t>
      </w:r>
    </w:p>
    <w:p w:rsidR="00FC7AB5" w:rsidRPr="00307112" w:rsidRDefault="00FC7AB5" w:rsidP="004752D9">
      <w:pPr>
        <w:widowControl w:val="0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Świadczenie Usługi realizacji Z</w:t>
      </w:r>
      <w:r w:rsidRPr="00307112">
        <w:rPr>
          <w:rFonts w:ascii="Calibri" w:hAnsi="Calibri"/>
          <w:i/>
        </w:rPr>
        <w:t>leceń dodatkowych obejmuje:</w:t>
      </w:r>
    </w:p>
    <w:p w:rsidR="00FC7AB5" w:rsidRPr="00307112" w:rsidRDefault="00FC7AB5" w:rsidP="004752D9">
      <w:pPr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307112">
        <w:rPr>
          <w:rFonts w:ascii="Calibri" w:hAnsi="Calibri"/>
          <w:i/>
        </w:rPr>
        <w:t>Zapewnienie realizacji zleceń dostosowania SWEZ do potrzeb Zamawiającego i wsparcia eksploatacji, w szczególności w obszarach:</w:t>
      </w:r>
    </w:p>
    <w:p w:rsidR="00FC7AB5" w:rsidRPr="00307112" w:rsidRDefault="00FC7AB5" w:rsidP="004752D9">
      <w:pPr>
        <w:widowControl w:val="0"/>
        <w:numPr>
          <w:ilvl w:val="3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307112">
        <w:rPr>
          <w:rFonts w:ascii="Calibri" w:hAnsi="Calibri"/>
          <w:i/>
        </w:rPr>
        <w:t>administracji SWEZ;</w:t>
      </w:r>
    </w:p>
    <w:p w:rsidR="00FC7AB5" w:rsidRPr="00307112" w:rsidRDefault="00FC7AB5" w:rsidP="004752D9">
      <w:pPr>
        <w:widowControl w:val="0"/>
        <w:numPr>
          <w:ilvl w:val="3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307112">
        <w:rPr>
          <w:rFonts w:ascii="Calibri" w:hAnsi="Calibri"/>
          <w:i/>
        </w:rPr>
        <w:t xml:space="preserve">eksploatowanych i przyjętych do eksploatacji w trakcie trwania </w:t>
      </w:r>
      <w:r w:rsidR="001E1FF1">
        <w:rPr>
          <w:rFonts w:ascii="Calibri" w:hAnsi="Calibri"/>
          <w:i/>
        </w:rPr>
        <w:t>u</w:t>
      </w:r>
      <w:r w:rsidRPr="00307112">
        <w:rPr>
          <w:rFonts w:ascii="Calibri" w:hAnsi="Calibri"/>
          <w:i/>
        </w:rPr>
        <w:t>mowy modułów SAP;</w:t>
      </w:r>
    </w:p>
    <w:p w:rsidR="00FC7AB5" w:rsidRPr="00307112" w:rsidRDefault="00FC7AB5" w:rsidP="004752D9">
      <w:pPr>
        <w:widowControl w:val="0"/>
        <w:numPr>
          <w:ilvl w:val="3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307112">
        <w:rPr>
          <w:rFonts w:ascii="Calibri" w:hAnsi="Calibri"/>
          <w:i/>
        </w:rPr>
        <w:t>warsztatów z zakresu systemu SAP ekspl</w:t>
      </w:r>
      <w:r w:rsidR="00772FB3">
        <w:rPr>
          <w:rFonts w:ascii="Calibri" w:hAnsi="Calibri"/>
          <w:i/>
        </w:rPr>
        <w:t xml:space="preserve">oatowanego przez Zamawiającego </w:t>
      </w:r>
      <w:r w:rsidRPr="00307112">
        <w:rPr>
          <w:rFonts w:ascii="Calibri" w:hAnsi="Calibri"/>
          <w:i/>
        </w:rPr>
        <w:t>dla określonych grup użytkowników SWEZ;</w:t>
      </w:r>
    </w:p>
    <w:p w:rsidR="00FC7AB5" w:rsidRPr="00307112" w:rsidRDefault="00772FB3" w:rsidP="004752D9">
      <w:pPr>
        <w:widowControl w:val="0"/>
        <w:numPr>
          <w:ilvl w:val="3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wsparcia </w:t>
      </w:r>
      <w:r w:rsidR="00FC7AB5" w:rsidRPr="00307112">
        <w:rPr>
          <w:rFonts w:ascii="Calibri" w:hAnsi="Calibri"/>
          <w:i/>
        </w:rPr>
        <w:t>merytorycznego w zakresie rozwiązań eksploatowanych/nowych modułów SAP;</w:t>
      </w:r>
    </w:p>
    <w:p w:rsidR="00FC7AB5" w:rsidRPr="00307112" w:rsidRDefault="00FC7AB5" w:rsidP="004752D9">
      <w:pPr>
        <w:widowControl w:val="0"/>
        <w:numPr>
          <w:ilvl w:val="3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307112">
        <w:rPr>
          <w:rFonts w:ascii="Calibri" w:hAnsi="Calibri"/>
          <w:i/>
        </w:rPr>
        <w:t>dostosowania dokumentacji z obszaru SAP;</w:t>
      </w:r>
    </w:p>
    <w:p w:rsidR="00FC7AB5" w:rsidRPr="00307112" w:rsidRDefault="00FC7AB5" w:rsidP="004752D9">
      <w:pPr>
        <w:widowControl w:val="0"/>
        <w:numPr>
          <w:ilvl w:val="3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307112">
        <w:rPr>
          <w:rFonts w:ascii="Calibri" w:hAnsi="Calibri"/>
          <w:i/>
        </w:rPr>
        <w:t>innych dotyczących SWEZ z wyłączeniem wdrożeń nowych rozwiązań biznesowych obejmujących nowe moduły/procesy w SAP.</w:t>
      </w:r>
    </w:p>
    <w:p w:rsidR="00FC7AB5" w:rsidRPr="00307112" w:rsidRDefault="00FC7AB5" w:rsidP="004752D9">
      <w:pPr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307112">
        <w:rPr>
          <w:rFonts w:ascii="Calibri" w:hAnsi="Calibri"/>
          <w:i/>
        </w:rPr>
        <w:t>Przygotowanie dokumentacji dla każdego zrealizowanego zlecenia.</w:t>
      </w:r>
    </w:p>
    <w:p w:rsidR="00FC7AB5" w:rsidRPr="00307112" w:rsidRDefault="00FC7AB5" w:rsidP="004752D9">
      <w:pPr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307112">
        <w:rPr>
          <w:rFonts w:ascii="Calibri" w:hAnsi="Calibri"/>
          <w:i/>
        </w:rPr>
        <w:t>Realizacje zleceń dodatkowych w terminach uzgodnionych z Zamawiającym.</w:t>
      </w:r>
    </w:p>
    <w:p w:rsidR="00FC7AB5" w:rsidRPr="00307112" w:rsidRDefault="00FC7AB5" w:rsidP="004752D9">
      <w:pPr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307112">
        <w:rPr>
          <w:rFonts w:ascii="Calibri" w:hAnsi="Calibri"/>
          <w:i/>
        </w:rPr>
        <w:t>Zagwarantowanie</w:t>
      </w:r>
      <w:r w:rsidR="00772FB3">
        <w:rPr>
          <w:rFonts w:ascii="Calibri" w:hAnsi="Calibri"/>
          <w:i/>
        </w:rPr>
        <w:t xml:space="preserve"> możliwości</w:t>
      </w:r>
      <w:r w:rsidRPr="00307112">
        <w:rPr>
          <w:rFonts w:ascii="Calibri" w:hAnsi="Calibri"/>
          <w:i/>
        </w:rPr>
        <w:t xml:space="preserve"> realizacji zleceń dodatkowych w wymiarze nie mniejszym niż 15000 i nie większym niż 20000 osobogodzin pracochłonności Wykonawcy</w:t>
      </w:r>
      <w:r w:rsidR="00772FB3">
        <w:rPr>
          <w:rFonts w:ascii="Calibri" w:hAnsi="Calibri"/>
          <w:i/>
        </w:rPr>
        <w:t xml:space="preserve"> w okresie trwania umowy</w:t>
      </w:r>
      <w:r w:rsidRPr="00307112">
        <w:rPr>
          <w:rFonts w:ascii="Calibri" w:hAnsi="Calibri"/>
          <w:i/>
        </w:rPr>
        <w:t>, zgodnie z potrzebami Zamawiającego oraz ofertą.</w:t>
      </w:r>
    </w:p>
    <w:p w:rsidR="00FC7AB5" w:rsidRDefault="00FC7AB5" w:rsidP="004752D9">
      <w:pPr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307112">
        <w:rPr>
          <w:rFonts w:ascii="Calibri" w:hAnsi="Calibri"/>
          <w:i/>
        </w:rPr>
        <w:t xml:space="preserve">W ramach realizacji zleceń dodatkowych, w przypadku wytworzenia </w:t>
      </w:r>
      <w:r w:rsidRPr="00307112">
        <w:rPr>
          <w:rFonts w:ascii="Calibri" w:hAnsi="Calibri"/>
          <w:i/>
        </w:rPr>
        <w:lastRenderedPageBreak/>
        <w:t>produktów stanowiących utwory w rozumieniu przepisów Prawa autorskiego, przeniesienia autorskich praw majątkowych na Zamawiającego.</w:t>
      </w:r>
    </w:p>
    <w:p w:rsidR="00722541" w:rsidRPr="00307112" w:rsidRDefault="00722541" w:rsidP="004752D9">
      <w:pPr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Zlecenia są rozliczane w osobogodzinach.</w:t>
      </w:r>
    </w:p>
    <w:p w:rsidR="004752D9" w:rsidRPr="004752D9" w:rsidRDefault="00FC7AB5" w:rsidP="004752D9">
      <w:pPr>
        <w:widowControl w:val="0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307112">
        <w:rPr>
          <w:rFonts w:ascii="Calibri" w:hAnsi="Calibri"/>
          <w:i/>
        </w:rPr>
        <w:t>Udostępnienie administratorów systemów SAP (</w:t>
      </w:r>
      <w:proofErr w:type="spellStart"/>
      <w:r w:rsidRPr="00307112">
        <w:rPr>
          <w:rFonts w:ascii="Calibri" w:hAnsi="Calibri"/>
          <w:i/>
        </w:rPr>
        <w:t>Basis</w:t>
      </w:r>
      <w:proofErr w:type="spellEnd"/>
      <w:r w:rsidRPr="00307112">
        <w:rPr>
          <w:rFonts w:ascii="Calibri" w:hAnsi="Calibri"/>
          <w:i/>
        </w:rPr>
        <w:t xml:space="preserve">) w okresach zgodnych ze złożonymi zamówieniami w trakcie trwania umowy. Administrator będzie realizował </w:t>
      </w:r>
      <w:r w:rsidRPr="004752D9">
        <w:rPr>
          <w:rFonts w:ascii="Calibri" w:hAnsi="Calibri"/>
          <w:i/>
        </w:rPr>
        <w:t>wszystkie zadania związane z administrowaniem systemami SAP, mające na celu zapewnienie produkcyjnego działania SWEZ w zakresie wszystkich systemów SAP wchodzących w jego skład. Zagwarantowane w wymiarz</w:t>
      </w:r>
      <w:r w:rsidR="004752D9" w:rsidRPr="004752D9">
        <w:rPr>
          <w:rFonts w:ascii="Calibri" w:hAnsi="Calibri"/>
          <w:i/>
        </w:rPr>
        <w:t>e maksymalnie 1320 dniówek.</w:t>
      </w:r>
    </w:p>
    <w:p w:rsidR="004752D9" w:rsidRPr="004752D9" w:rsidRDefault="004752D9" w:rsidP="004752D9">
      <w:pPr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4752D9">
        <w:rPr>
          <w:rFonts w:ascii="Calibri" w:hAnsi="Calibri"/>
          <w:i/>
        </w:rPr>
        <w:t>Wykonawca udostępni Zamawiającemu administratorów SAP (BASIS) w jednym z poniższych trybów:</w:t>
      </w:r>
    </w:p>
    <w:p w:rsidR="004752D9" w:rsidRPr="000C231D" w:rsidRDefault="004752D9" w:rsidP="004752D9">
      <w:pPr>
        <w:widowControl w:val="0"/>
        <w:numPr>
          <w:ilvl w:val="3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0C231D">
        <w:rPr>
          <w:rFonts w:ascii="Calibri" w:hAnsi="Calibri"/>
          <w:i/>
        </w:rPr>
        <w:t>Krótkoterminowy, na okres do 3 miesięcy - na podstawie Wniosku r</w:t>
      </w:r>
      <w:r w:rsidR="00BE469C">
        <w:rPr>
          <w:rFonts w:ascii="Calibri" w:hAnsi="Calibri"/>
          <w:i/>
        </w:rPr>
        <w:t>ealizacji Zlecenia dodatkowego;</w:t>
      </w:r>
    </w:p>
    <w:p w:rsidR="00926E06" w:rsidRPr="00C82B86" w:rsidRDefault="004752D9" w:rsidP="00926E06">
      <w:pPr>
        <w:widowControl w:val="0"/>
        <w:numPr>
          <w:ilvl w:val="3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C82B86">
        <w:rPr>
          <w:i/>
        </w:rPr>
        <w:t xml:space="preserve">Długoterminowy, na okres 3 miesięcy i dłużej - na </w:t>
      </w:r>
      <w:r w:rsidR="00926E06" w:rsidRPr="00C82B86">
        <w:rPr>
          <w:i/>
        </w:rPr>
        <w:t>podstawie złożonego Zamówienia</w:t>
      </w:r>
      <w:r w:rsidR="00772FB3">
        <w:rPr>
          <w:i/>
        </w:rPr>
        <w:t>.</w:t>
      </w:r>
    </w:p>
    <w:p w:rsidR="00926E06" w:rsidRPr="00C82B86" w:rsidRDefault="004752D9" w:rsidP="00926E06">
      <w:pPr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C82B86">
        <w:rPr>
          <w:i/>
        </w:rPr>
        <w:t>W trybie długoterminowym Zamawiający złoży Zamówienie nie później niż miesiąc przed termine</w:t>
      </w:r>
      <w:r w:rsidR="00926E06" w:rsidRPr="00C82B86">
        <w:rPr>
          <w:i/>
        </w:rPr>
        <w:t>m początku okresu udostępnienia</w:t>
      </w:r>
      <w:r w:rsidR="00772FB3">
        <w:rPr>
          <w:i/>
        </w:rPr>
        <w:t>.</w:t>
      </w:r>
    </w:p>
    <w:p w:rsidR="00926E06" w:rsidRPr="00C82B86" w:rsidRDefault="004752D9" w:rsidP="00926E06">
      <w:pPr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C82B86">
        <w:rPr>
          <w:i/>
        </w:rPr>
        <w:t xml:space="preserve">Zamówienie nie może być wystawione </w:t>
      </w:r>
      <w:r w:rsidR="00926E06" w:rsidRPr="00C82B86">
        <w:rPr>
          <w:i/>
        </w:rPr>
        <w:t>na okres krótszy niż 3 miesiące</w:t>
      </w:r>
      <w:r w:rsidR="00772FB3">
        <w:rPr>
          <w:i/>
        </w:rPr>
        <w:t>.</w:t>
      </w:r>
    </w:p>
    <w:p w:rsidR="004752D9" w:rsidRPr="00C82B86" w:rsidRDefault="004752D9" w:rsidP="004752D9">
      <w:pPr>
        <w:pStyle w:val="Akapitzlist"/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C82B86">
        <w:rPr>
          <w:i/>
        </w:rPr>
        <w:t>Udostępniona osoba musi mieć co najmniej trzyletnie doświadczenie w administrowaniu systemami SAP i administrowała systemami SAP w okresie ostatnich trzech lat przez co najmniej dwa lata,</w:t>
      </w:r>
      <w:r w:rsidR="00BE469C" w:rsidRPr="00C82B86">
        <w:rPr>
          <w:i/>
        </w:rPr>
        <w:t xml:space="preserve"> co jest w stanie udokumentować</w:t>
      </w:r>
      <w:r w:rsidR="00772FB3">
        <w:rPr>
          <w:i/>
        </w:rPr>
        <w:t>.</w:t>
      </w:r>
    </w:p>
    <w:p w:rsidR="00BE469C" w:rsidRPr="00C82B86" w:rsidRDefault="00BE469C" w:rsidP="00BE469C">
      <w:pPr>
        <w:pStyle w:val="Akapitzlist"/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C82B86">
        <w:rPr>
          <w:i/>
          <w:szCs w:val="18"/>
        </w:rPr>
        <w:t>Usługi administrowania udostępniona osoba świadczy bezpośrednio w siedzibie Zamawiającego, w Warszawie, w Centrali Zakładu Ubezpieczeń Społecznych</w:t>
      </w:r>
      <w:r w:rsidR="00772FB3">
        <w:rPr>
          <w:i/>
          <w:szCs w:val="18"/>
        </w:rPr>
        <w:t>.</w:t>
      </w:r>
    </w:p>
    <w:p w:rsidR="00BE469C" w:rsidRPr="00C82B86" w:rsidRDefault="00BE469C" w:rsidP="00BE469C">
      <w:pPr>
        <w:pStyle w:val="Akapitzlist"/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C82B86">
        <w:rPr>
          <w:rFonts w:eastAsia="Times New Roman" w:cs="Arial"/>
          <w:i/>
          <w:szCs w:val="18"/>
        </w:rPr>
        <w:t xml:space="preserve">Usługi są świadczone w </w:t>
      </w:r>
      <w:r w:rsidR="003E07CA">
        <w:rPr>
          <w:rFonts w:eastAsia="Times New Roman" w:cs="Arial"/>
          <w:i/>
          <w:szCs w:val="18"/>
        </w:rPr>
        <w:t>d</w:t>
      </w:r>
      <w:r w:rsidRPr="00C82B86">
        <w:rPr>
          <w:rFonts w:eastAsia="Times New Roman" w:cs="Arial"/>
          <w:i/>
          <w:szCs w:val="18"/>
        </w:rPr>
        <w:t xml:space="preserve">ni robocze w godzinach 8.00 – 16.00. Zmiana godzin świadczenia usług jest możliwa po wyrażeniu zgody przez Zamawiającego, jednak liczba godzin w miesiącu nie może być mniejsza niż miesięczny wymiar czasu pracy, tj. 8 X liczba </w:t>
      </w:r>
      <w:r w:rsidR="00772FB3">
        <w:rPr>
          <w:rFonts w:eastAsia="Times New Roman" w:cs="Arial"/>
          <w:i/>
          <w:szCs w:val="18"/>
        </w:rPr>
        <w:t>d</w:t>
      </w:r>
      <w:r w:rsidRPr="00C82B86">
        <w:rPr>
          <w:rFonts w:eastAsia="Times New Roman" w:cs="Arial"/>
          <w:i/>
          <w:szCs w:val="18"/>
        </w:rPr>
        <w:t>ni roboczych w miesiącu</w:t>
      </w:r>
      <w:r w:rsidR="00772FB3">
        <w:rPr>
          <w:rFonts w:eastAsia="Times New Roman" w:cs="Arial"/>
          <w:i/>
          <w:szCs w:val="18"/>
        </w:rPr>
        <w:t>.</w:t>
      </w:r>
    </w:p>
    <w:p w:rsidR="00E30CC7" w:rsidRPr="00C82B86" w:rsidRDefault="00BE469C" w:rsidP="00E30CC7">
      <w:pPr>
        <w:pStyle w:val="Akapitzlist"/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C82B86">
        <w:rPr>
          <w:rFonts w:eastAsia="Times New Roman" w:cs="Arial"/>
          <w:i/>
          <w:szCs w:val="18"/>
        </w:rPr>
        <w:t>Obowiązki administratora:</w:t>
      </w:r>
    </w:p>
    <w:p w:rsidR="00292F98" w:rsidRPr="00C82B86" w:rsidRDefault="00E30CC7" w:rsidP="00722541">
      <w:pPr>
        <w:pStyle w:val="Akapitzlist"/>
        <w:widowControl w:val="0"/>
        <w:numPr>
          <w:ilvl w:val="3"/>
          <w:numId w:val="3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="Times New Roman" w:cs="Arial"/>
          <w:i/>
          <w:szCs w:val="18"/>
        </w:rPr>
      </w:pPr>
      <w:r w:rsidRPr="00C82B86">
        <w:rPr>
          <w:rFonts w:eastAsia="Times New Roman" w:cs="Arial"/>
          <w:i/>
          <w:szCs w:val="18"/>
        </w:rPr>
        <w:t xml:space="preserve"> W   zakresie utrzymania baz danych: monitorowanie baz danych i identyfikacja problemów, administrowanie i zarządzanie bazami danych, w tym strojenie wydajnościowe i wgrywanie poprawek </w:t>
      </w:r>
      <w:proofErr w:type="spellStart"/>
      <w:r w:rsidRPr="00C82B86">
        <w:rPr>
          <w:rFonts w:eastAsia="Times New Roman" w:cs="Arial"/>
          <w:i/>
          <w:szCs w:val="18"/>
        </w:rPr>
        <w:t>FixPack</w:t>
      </w:r>
      <w:proofErr w:type="spellEnd"/>
      <w:r w:rsidRPr="00C82B86">
        <w:rPr>
          <w:rFonts w:eastAsia="Times New Roman" w:cs="Arial"/>
          <w:i/>
          <w:szCs w:val="18"/>
        </w:rPr>
        <w:t xml:space="preserve"> dla baz danych DB2, przygotowywania rekomendacji dotyczących instalacji </w:t>
      </w:r>
      <w:proofErr w:type="spellStart"/>
      <w:r w:rsidRPr="00C82B86">
        <w:rPr>
          <w:rFonts w:eastAsia="Times New Roman" w:cs="Arial"/>
          <w:i/>
          <w:szCs w:val="18"/>
        </w:rPr>
        <w:t>patchy</w:t>
      </w:r>
      <w:proofErr w:type="spellEnd"/>
      <w:r w:rsidRPr="00C82B86">
        <w:rPr>
          <w:rFonts w:eastAsia="Times New Roman" w:cs="Arial"/>
          <w:i/>
          <w:szCs w:val="18"/>
        </w:rPr>
        <w:t xml:space="preserve"> i </w:t>
      </w:r>
      <w:proofErr w:type="spellStart"/>
      <w:r w:rsidRPr="00C82B86">
        <w:rPr>
          <w:rFonts w:eastAsia="Times New Roman" w:cs="Arial"/>
          <w:i/>
          <w:szCs w:val="18"/>
        </w:rPr>
        <w:t>upgrade’ów</w:t>
      </w:r>
      <w:proofErr w:type="spellEnd"/>
      <w:r w:rsidRPr="00C82B86">
        <w:rPr>
          <w:rFonts w:eastAsia="Times New Roman" w:cs="Arial"/>
          <w:i/>
          <w:szCs w:val="18"/>
        </w:rPr>
        <w:t xml:space="preserve"> baz danych, </w:t>
      </w:r>
      <w:r w:rsidR="00772FB3">
        <w:rPr>
          <w:rFonts w:eastAsia="Times New Roman" w:cs="Arial"/>
          <w:i/>
          <w:szCs w:val="18"/>
        </w:rPr>
        <w:t>p</w:t>
      </w:r>
      <w:r w:rsidRPr="00C82B86">
        <w:rPr>
          <w:rFonts w:eastAsia="Times New Roman" w:cs="Arial"/>
          <w:i/>
          <w:szCs w:val="18"/>
        </w:rPr>
        <w:t>lanowanie i realizacja polityki sporządzania kopii bezpieczeństwa, odtwarzanie baz danych z kopii bezpieczeństwa, administrowanie klastrami HACMP.</w:t>
      </w:r>
    </w:p>
    <w:p w:rsidR="00292F98" w:rsidRPr="00C82B86" w:rsidRDefault="00292F98" w:rsidP="00722541">
      <w:pPr>
        <w:pStyle w:val="Akapitzlist"/>
        <w:widowControl w:val="0"/>
        <w:numPr>
          <w:ilvl w:val="3"/>
          <w:numId w:val="3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="Times New Roman" w:cs="Arial"/>
          <w:i/>
          <w:szCs w:val="18"/>
        </w:rPr>
      </w:pPr>
      <w:r w:rsidRPr="00C82B86">
        <w:rPr>
          <w:rFonts w:eastAsia="Times New Roman" w:cs="Arial"/>
          <w:i/>
          <w:szCs w:val="18"/>
        </w:rPr>
        <w:t xml:space="preserve">W   zakresie administrowania systemami operacyjnymi i wydajnością: współpraca z administratorami systemów operacyjnych w ZUS, udział w identyfikacji incydentów i problemów w obszarze systemów operacyjnych, przygotowywania rekomendacji dotyczących zmian niezbędnych do zapewnienia właściwej wydajności systemów, monitorowanie wykorzystania zasobów systemowych. </w:t>
      </w:r>
    </w:p>
    <w:p w:rsidR="00061561" w:rsidRPr="00C82B86" w:rsidRDefault="00292F98" w:rsidP="00722541">
      <w:pPr>
        <w:pStyle w:val="Akapitzlist"/>
        <w:widowControl w:val="0"/>
        <w:numPr>
          <w:ilvl w:val="3"/>
          <w:numId w:val="3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="Times New Roman" w:cs="Arial"/>
          <w:i/>
          <w:szCs w:val="18"/>
        </w:rPr>
      </w:pPr>
      <w:r w:rsidRPr="00C82B86">
        <w:rPr>
          <w:rFonts w:eastAsia="Times New Roman" w:cs="Arial"/>
          <w:i/>
          <w:szCs w:val="18"/>
        </w:rPr>
        <w:t xml:space="preserve">W   zakresie utrzymania systemów SAP: monitorowanie i  strojenie parametrów w profilach systemów SAP, konfiguracja </w:t>
      </w:r>
      <w:proofErr w:type="spellStart"/>
      <w:r w:rsidRPr="00C82B86">
        <w:rPr>
          <w:rFonts w:eastAsia="Times New Roman" w:cs="Arial"/>
          <w:i/>
          <w:szCs w:val="18"/>
        </w:rPr>
        <w:t>webserwisów</w:t>
      </w:r>
      <w:proofErr w:type="spellEnd"/>
      <w:r w:rsidRPr="00C82B86">
        <w:rPr>
          <w:rFonts w:eastAsia="Times New Roman" w:cs="Arial"/>
          <w:i/>
          <w:szCs w:val="18"/>
        </w:rPr>
        <w:t>, z</w:t>
      </w:r>
      <w:r w:rsidR="00772FB3">
        <w:rPr>
          <w:rFonts w:eastAsia="Times New Roman" w:cs="Arial"/>
          <w:i/>
          <w:szCs w:val="18"/>
        </w:rPr>
        <w:t xml:space="preserve">miana parametrów </w:t>
      </w:r>
      <w:proofErr w:type="spellStart"/>
      <w:r w:rsidR="00772FB3">
        <w:rPr>
          <w:rFonts w:eastAsia="Times New Roman" w:cs="Arial"/>
          <w:i/>
          <w:szCs w:val="18"/>
        </w:rPr>
        <w:t>webdispatchera</w:t>
      </w:r>
      <w:proofErr w:type="spellEnd"/>
      <w:r w:rsidRPr="00C82B86">
        <w:rPr>
          <w:rFonts w:eastAsia="Times New Roman" w:cs="Arial"/>
          <w:i/>
          <w:szCs w:val="18"/>
        </w:rPr>
        <w:t>,</w:t>
      </w:r>
      <w:r w:rsidR="00772FB3">
        <w:rPr>
          <w:rFonts w:eastAsia="Times New Roman" w:cs="Arial"/>
          <w:i/>
          <w:szCs w:val="18"/>
        </w:rPr>
        <w:t xml:space="preserve"> </w:t>
      </w:r>
      <w:r w:rsidRPr="00C82B86">
        <w:rPr>
          <w:rFonts w:eastAsia="Times New Roman" w:cs="Arial"/>
          <w:i/>
          <w:szCs w:val="18"/>
        </w:rPr>
        <w:t>zatrzymywanie/uruchamianie systemów SAP wraz z bazami danych i interfejsami, reorganizacja baz danych</w:t>
      </w:r>
      <w:r w:rsidR="00772FB3">
        <w:rPr>
          <w:rFonts w:eastAsia="Times New Roman" w:cs="Arial"/>
          <w:i/>
          <w:szCs w:val="18"/>
        </w:rPr>
        <w:t>,</w:t>
      </w:r>
      <w:r w:rsidRPr="00C82B86">
        <w:rPr>
          <w:rFonts w:eastAsia="Times New Roman" w:cs="Arial"/>
          <w:i/>
          <w:szCs w:val="18"/>
        </w:rPr>
        <w:t xml:space="preserve"> konfiguracja drukarek, monitorowanie aplikacji – </w:t>
      </w:r>
      <w:r w:rsidR="00061561" w:rsidRPr="00C82B86">
        <w:rPr>
          <w:rFonts w:eastAsia="Times New Roman" w:cs="Arial"/>
          <w:i/>
          <w:szCs w:val="18"/>
        </w:rPr>
        <w:t xml:space="preserve">analiza logów systemowych (SAP), </w:t>
      </w:r>
      <w:r w:rsidR="00772FB3">
        <w:rPr>
          <w:rFonts w:eastAsia="Times New Roman" w:cs="Arial"/>
          <w:i/>
          <w:szCs w:val="18"/>
        </w:rPr>
        <w:t>m</w:t>
      </w:r>
      <w:r w:rsidRPr="00C82B86">
        <w:rPr>
          <w:rFonts w:eastAsia="Times New Roman" w:cs="Arial"/>
          <w:i/>
          <w:szCs w:val="18"/>
        </w:rPr>
        <w:t>onitorowanie aplikacji – we</w:t>
      </w:r>
      <w:r w:rsidR="00061561" w:rsidRPr="00C82B86">
        <w:rPr>
          <w:rFonts w:eastAsia="Times New Roman" w:cs="Arial"/>
          <w:i/>
          <w:szCs w:val="18"/>
        </w:rPr>
        <w:t xml:space="preserve">ryfikacja krótkich zrzutów ABAP, </w:t>
      </w:r>
      <w:r w:rsidR="00772FB3">
        <w:rPr>
          <w:rFonts w:eastAsia="Times New Roman" w:cs="Arial"/>
          <w:i/>
          <w:szCs w:val="18"/>
        </w:rPr>
        <w:t>a</w:t>
      </w:r>
      <w:r w:rsidR="00061561" w:rsidRPr="00C82B86">
        <w:rPr>
          <w:rFonts w:eastAsia="Times New Roman" w:cs="Arial"/>
          <w:i/>
          <w:szCs w:val="18"/>
        </w:rPr>
        <w:t>naliza krótkich zrzutów ABAP, a</w:t>
      </w:r>
      <w:r w:rsidRPr="00C82B86">
        <w:rPr>
          <w:rFonts w:eastAsia="Times New Roman" w:cs="Arial"/>
          <w:i/>
          <w:szCs w:val="18"/>
        </w:rPr>
        <w:t xml:space="preserve">naliza </w:t>
      </w:r>
      <w:r w:rsidRPr="00C82B86">
        <w:rPr>
          <w:rFonts w:eastAsia="Times New Roman" w:cs="Arial"/>
          <w:i/>
          <w:szCs w:val="18"/>
        </w:rPr>
        <w:lastRenderedPageBreak/>
        <w:t xml:space="preserve">raportów </w:t>
      </w:r>
      <w:proofErr w:type="spellStart"/>
      <w:r w:rsidRPr="00C82B86">
        <w:rPr>
          <w:rFonts w:eastAsia="Times New Roman" w:cs="Arial"/>
          <w:i/>
          <w:szCs w:val="18"/>
        </w:rPr>
        <w:t>Early</w:t>
      </w:r>
      <w:proofErr w:type="spellEnd"/>
      <w:r w:rsidRPr="00C82B86">
        <w:rPr>
          <w:rFonts w:eastAsia="Times New Roman" w:cs="Arial"/>
          <w:i/>
          <w:szCs w:val="18"/>
        </w:rPr>
        <w:t xml:space="preserve"> Watch Alert </w:t>
      </w:r>
      <w:r w:rsidR="00061561" w:rsidRPr="00C82B86">
        <w:rPr>
          <w:rFonts w:eastAsia="Times New Roman" w:cs="Arial"/>
          <w:i/>
          <w:szCs w:val="18"/>
        </w:rPr>
        <w:t>i przygotowywanie rekomendacji, w</w:t>
      </w:r>
      <w:r w:rsidRPr="00C82B86">
        <w:rPr>
          <w:rFonts w:eastAsia="Times New Roman" w:cs="Arial"/>
          <w:i/>
          <w:szCs w:val="18"/>
        </w:rPr>
        <w:t>drażanie rekomendacji wynikając</w:t>
      </w:r>
      <w:r w:rsidR="00061561" w:rsidRPr="00C82B86">
        <w:rPr>
          <w:rFonts w:eastAsia="Times New Roman" w:cs="Arial"/>
          <w:i/>
          <w:szCs w:val="18"/>
        </w:rPr>
        <w:t xml:space="preserve">ych z raportu </w:t>
      </w:r>
      <w:proofErr w:type="spellStart"/>
      <w:r w:rsidR="00061561" w:rsidRPr="00C82B86">
        <w:rPr>
          <w:rFonts w:eastAsia="Times New Roman" w:cs="Arial"/>
          <w:i/>
          <w:szCs w:val="18"/>
        </w:rPr>
        <w:t>Early</w:t>
      </w:r>
      <w:proofErr w:type="spellEnd"/>
      <w:r w:rsidR="00061561" w:rsidRPr="00C82B86">
        <w:rPr>
          <w:rFonts w:eastAsia="Times New Roman" w:cs="Arial"/>
          <w:i/>
          <w:szCs w:val="18"/>
        </w:rPr>
        <w:t xml:space="preserve"> Watch Alert, </w:t>
      </w:r>
      <w:r w:rsidR="00772FB3">
        <w:rPr>
          <w:rFonts w:eastAsia="Times New Roman" w:cs="Arial"/>
          <w:i/>
          <w:szCs w:val="18"/>
        </w:rPr>
        <w:t>a</w:t>
      </w:r>
      <w:r w:rsidRPr="00C82B86">
        <w:rPr>
          <w:rFonts w:eastAsia="Times New Roman" w:cs="Arial"/>
          <w:i/>
          <w:szCs w:val="18"/>
        </w:rPr>
        <w:t>naliza przyszły</w:t>
      </w:r>
      <w:r w:rsidR="00061561" w:rsidRPr="00C82B86">
        <w:rPr>
          <w:rFonts w:eastAsia="Times New Roman" w:cs="Arial"/>
          <w:i/>
          <w:szCs w:val="18"/>
        </w:rPr>
        <w:t>ch potrzeb sprzętowych systemów, a</w:t>
      </w:r>
      <w:r w:rsidRPr="00C82B86">
        <w:rPr>
          <w:rFonts w:eastAsia="Times New Roman" w:cs="Arial"/>
          <w:i/>
          <w:szCs w:val="18"/>
        </w:rPr>
        <w:t>naliza wydajności i realizacja w</w:t>
      </w:r>
      <w:r w:rsidR="00061561" w:rsidRPr="00C82B86">
        <w:rPr>
          <w:rFonts w:eastAsia="Times New Roman" w:cs="Arial"/>
          <w:i/>
          <w:szCs w:val="18"/>
        </w:rPr>
        <w:t>ynikających z nich rekomendacji, d</w:t>
      </w:r>
      <w:r w:rsidRPr="00C82B86">
        <w:rPr>
          <w:rFonts w:eastAsia="Times New Roman" w:cs="Arial"/>
          <w:i/>
          <w:szCs w:val="18"/>
        </w:rPr>
        <w:t>efiniowanie zadań wsadowych za pomocą t</w:t>
      </w:r>
      <w:r w:rsidR="00061561" w:rsidRPr="00C82B86">
        <w:rPr>
          <w:rFonts w:eastAsia="Times New Roman" w:cs="Arial"/>
          <w:i/>
          <w:szCs w:val="18"/>
        </w:rPr>
        <w:t>ransakcji SM36/SM37, i</w:t>
      </w:r>
      <w:r w:rsidRPr="00C82B86">
        <w:rPr>
          <w:rFonts w:eastAsia="Times New Roman" w:cs="Arial"/>
          <w:i/>
          <w:szCs w:val="18"/>
        </w:rPr>
        <w:t xml:space="preserve">nstalowanie dostępnych i niezbędnych </w:t>
      </w:r>
      <w:proofErr w:type="spellStart"/>
      <w:r w:rsidRPr="00C82B86">
        <w:rPr>
          <w:rFonts w:eastAsia="Times New Roman" w:cs="Arial"/>
          <w:i/>
          <w:szCs w:val="18"/>
        </w:rPr>
        <w:t>patchy</w:t>
      </w:r>
      <w:proofErr w:type="spellEnd"/>
      <w:r w:rsidRPr="00C82B86">
        <w:rPr>
          <w:rFonts w:eastAsia="Times New Roman" w:cs="Arial"/>
          <w:i/>
          <w:szCs w:val="18"/>
        </w:rPr>
        <w:t xml:space="preserve"> sy</w:t>
      </w:r>
      <w:r w:rsidR="00061561" w:rsidRPr="00C82B86">
        <w:rPr>
          <w:rFonts w:eastAsia="Times New Roman" w:cs="Arial"/>
          <w:i/>
          <w:szCs w:val="18"/>
        </w:rPr>
        <w:t xml:space="preserve">stemu SAP (w szczególności not), </w:t>
      </w:r>
      <w:proofErr w:type="spellStart"/>
      <w:r w:rsidR="00061561" w:rsidRPr="00C82B86">
        <w:rPr>
          <w:rFonts w:eastAsia="Times New Roman" w:cs="Arial"/>
          <w:i/>
          <w:szCs w:val="18"/>
        </w:rPr>
        <w:t>p</w:t>
      </w:r>
      <w:r w:rsidRPr="00C82B86">
        <w:rPr>
          <w:rFonts w:eastAsia="Times New Roman" w:cs="Arial"/>
          <w:i/>
          <w:szCs w:val="18"/>
        </w:rPr>
        <w:t>atchowanie</w:t>
      </w:r>
      <w:proofErr w:type="spellEnd"/>
      <w:r w:rsidRPr="00C82B86">
        <w:rPr>
          <w:rFonts w:eastAsia="Times New Roman" w:cs="Arial"/>
          <w:i/>
          <w:szCs w:val="18"/>
        </w:rPr>
        <w:t xml:space="preserve"> systemu SAP</w:t>
      </w:r>
      <w:r w:rsidR="00061561" w:rsidRPr="00C82B86">
        <w:rPr>
          <w:rFonts w:eastAsia="Times New Roman" w:cs="Arial"/>
          <w:i/>
          <w:szCs w:val="18"/>
        </w:rPr>
        <w:t xml:space="preserve"> do poziomu aktualnego SP-STACK, w</w:t>
      </w:r>
      <w:r w:rsidRPr="00C82B86">
        <w:rPr>
          <w:rFonts w:eastAsia="Times New Roman" w:cs="Arial"/>
          <w:i/>
          <w:szCs w:val="18"/>
        </w:rPr>
        <w:t>yko</w:t>
      </w:r>
      <w:r w:rsidR="00061561" w:rsidRPr="00C82B86">
        <w:rPr>
          <w:rFonts w:eastAsia="Times New Roman" w:cs="Arial"/>
          <w:i/>
          <w:szCs w:val="18"/>
        </w:rPr>
        <w:t xml:space="preserve">nywanie </w:t>
      </w:r>
      <w:proofErr w:type="spellStart"/>
      <w:r w:rsidR="00061561" w:rsidRPr="00C82B86">
        <w:rPr>
          <w:rFonts w:eastAsia="Times New Roman" w:cs="Arial"/>
          <w:i/>
          <w:szCs w:val="18"/>
        </w:rPr>
        <w:t>upgrade’ów</w:t>
      </w:r>
      <w:proofErr w:type="spellEnd"/>
      <w:r w:rsidR="00061561" w:rsidRPr="00C82B86">
        <w:rPr>
          <w:rFonts w:eastAsia="Times New Roman" w:cs="Arial"/>
          <w:i/>
          <w:szCs w:val="18"/>
        </w:rPr>
        <w:t xml:space="preserve"> systemów SAP, d</w:t>
      </w:r>
      <w:r w:rsidRPr="00C82B86">
        <w:rPr>
          <w:rFonts w:eastAsia="Times New Roman" w:cs="Arial"/>
          <w:i/>
          <w:szCs w:val="18"/>
        </w:rPr>
        <w:t xml:space="preserve">ostosowanie systemu SAP po wykonanym </w:t>
      </w:r>
      <w:proofErr w:type="spellStart"/>
      <w:r w:rsidRPr="00C82B86">
        <w:rPr>
          <w:rFonts w:eastAsia="Times New Roman" w:cs="Arial"/>
          <w:i/>
          <w:szCs w:val="18"/>
        </w:rPr>
        <w:t>patchowaniu</w:t>
      </w:r>
      <w:proofErr w:type="spellEnd"/>
      <w:r w:rsidRPr="00C82B86">
        <w:rPr>
          <w:rFonts w:eastAsia="Times New Roman" w:cs="Arial"/>
          <w:i/>
          <w:szCs w:val="18"/>
        </w:rPr>
        <w:t xml:space="preserve"> SAP w zakres</w:t>
      </w:r>
      <w:r w:rsidR="00061561" w:rsidRPr="00C82B86">
        <w:rPr>
          <w:rFonts w:eastAsia="Times New Roman" w:cs="Arial"/>
          <w:i/>
          <w:szCs w:val="18"/>
        </w:rPr>
        <w:t xml:space="preserve">ie </w:t>
      </w:r>
      <w:proofErr w:type="spellStart"/>
      <w:r w:rsidR="00061561" w:rsidRPr="00C82B86">
        <w:rPr>
          <w:rFonts w:eastAsia="Times New Roman" w:cs="Arial"/>
          <w:i/>
          <w:szCs w:val="18"/>
        </w:rPr>
        <w:t>Basis</w:t>
      </w:r>
      <w:proofErr w:type="spellEnd"/>
      <w:r w:rsidR="00061561" w:rsidRPr="00C82B86">
        <w:rPr>
          <w:rFonts w:eastAsia="Times New Roman" w:cs="Arial"/>
          <w:i/>
          <w:szCs w:val="18"/>
        </w:rPr>
        <w:t>, zarządzanie kolejkami wydruków, aktualizacja jądra systemu, d</w:t>
      </w:r>
      <w:r w:rsidRPr="00C82B86">
        <w:rPr>
          <w:rFonts w:eastAsia="Times New Roman" w:cs="Arial"/>
          <w:i/>
          <w:szCs w:val="18"/>
        </w:rPr>
        <w:t xml:space="preserve">iagnostyka i usuwanie </w:t>
      </w:r>
      <w:r w:rsidR="00061561" w:rsidRPr="00C82B86">
        <w:rPr>
          <w:rFonts w:eastAsia="Times New Roman" w:cs="Arial"/>
          <w:i/>
          <w:szCs w:val="18"/>
        </w:rPr>
        <w:t>problemów na poziomie SAP BASIS, wykonywanie kopii mandanta, odświeżanie systemów SAP, usuwanie mandanta</w:t>
      </w:r>
      <w:r w:rsidR="00772FB3">
        <w:rPr>
          <w:rFonts w:eastAsia="Times New Roman" w:cs="Arial"/>
          <w:i/>
          <w:szCs w:val="18"/>
        </w:rPr>
        <w:t>.</w:t>
      </w:r>
    </w:p>
    <w:p w:rsidR="00C82B86" w:rsidRPr="00C82B86" w:rsidRDefault="00292F98" w:rsidP="00722541">
      <w:pPr>
        <w:pStyle w:val="Akapitzlist"/>
        <w:widowControl w:val="0"/>
        <w:numPr>
          <w:ilvl w:val="3"/>
          <w:numId w:val="3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="Times New Roman" w:cs="Arial"/>
          <w:i/>
          <w:szCs w:val="18"/>
        </w:rPr>
      </w:pPr>
      <w:r w:rsidRPr="00C82B86">
        <w:rPr>
          <w:rFonts w:eastAsia="Times New Roman" w:cs="Arial"/>
          <w:i/>
          <w:szCs w:val="18"/>
        </w:rPr>
        <w:t>W   zakresie ut</w:t>
      </w:r>
      <w:r w:rsidR="00C82B86" w:rsidRPr="00C82B86">
        <w:rPr>
          <w:rFonts w:eastAsia="Times New Roman" w:cs="Arial"/>
          <w:i/>
          <w:szCs w:val="18"/>
        </w:rPr>
        <w:t>rzymania systemu transportowego: import zleceń transportowych, u</w:t>
      </w:r>
      <w:r w:rsidRPr="00C82B86">
        <w:rPr>
          <w:rFonts w:eastAsia="Times New Roman" w:cs="Arial"/>
          <w:i/>
          <w:szCs w:val="18"/>
        </w:rPr>
        <w:t>t</w:t>
      </w:r>
      <w:r w:rsidR="00C82B86" w:rsidRPr="00C82B86">
        <w:rPr>
          <w:rFonts w:eastAsia="Times New Roman" w:cs="Arial"/>
          <w:i/>
          <w:szCs w:val="18"/>
        </w:rPr>
        <w:t>rzymanie systemu transportowego, z</w:t>
      </w:r>
      <w:r w:rsidRPr="00C82B86">
        <w:rPr>
          <w:rFonts w:eastAsia="Times New Roman" w:cs="Arial"/>
          <w:i/>
          <w:szCs w:val="18"/>
        </w:rPr>
        <w:t>arządzanie systemem transportowym – reorgani</w:t>
      </w:r>
      <w:r w:rsidR="00C82B86" w:rsidRPr="00C82B86">
        <w:rPr>
          <w:rFonts w:eastAsia="Times New Roman" w:cs="Arial"/>
          <w:i/>
          <w:szCs w:val="18"/>
        </w:rPr>
        <w:t>zacja katalogów transportowych, a</w:t>
      </w:r>
      <w:r w:rsidRPr="00C82B86">
        <w:rPr>
          <w:rFonts w:eastAsia="Times New Roman" w:cs="Arial"/>
          <w:i/>
          <w:szCs w:val="18"/>
        </w:rPr>
        <w:t>naliza logów transportów.</w:t>
      </w:r>
    </w:p>
    <w:p w:rsidR="00292F98" w:rsidRPr="00C82B86" w:rsidRDefault="00292F98" w:rsidP="00722541">
      <w:pPr>
        <w:pStyle w:val="Akapitzlist"/>
        <w:widowControl w:val="0"/>
        <w:numPr>
          <w:ilvl w:val="3"/>
          <w:numId w:val="3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="Times New Roman" w:cs="Arial"/>
          <w:i/>
          <w:szCs w:val="18"/>
        </w:rPr>
      </w:pPr>
      <w:r w:rsidRPr="00C82B86">
        <w:rPr>
          <w:rFonts w:eastAsia="Times New Roman" w:cs="Arial"/>
          <w:i/>
          <w:szCs w:val="18"/>
        </w:rPr>
        <w:t>Wsparcie w zarządzaniu polityką bezpieczeństwa.</w:t>
      </w:r>
    </w:p>
    <w:p w:rsidR="00BE469C" w:rsidRPr="00C82B86" w:rsidRDefault="00BE469C" w:rsidP="00B3229C">
      <w:pPr>
        <w:pStyle w:val="Akapitzlist"/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C82B86">
        <w:rPr>
          <w:rFonts w:eastAsia="Times New Roman" w:cs="Arial"/>
          <w:i/>
          <w:szCs w:val="18"/>
        </w:rPr>
        <w:t>Zamawiający zapewni Administratorowi SAP warunki lokalowe i wypos</w:t>
      </w:r>
      <w:r w:rsidR="00B3229C">
        <w:rPr>
          <w:rFonts w:eastAsia="Times New Roman" w:cs="Arial"/>
          <w:i/>
          <w:szCs w:val="18"/>
        </w:rPr>
        <w:t>ażenie biurowe stanowiska pracy.</w:t>
      </w:r>
    </w:p>
    <w:p w:rsidR="00FC7AB5" w:rsidRPr="00C82B86" w:rsidRDefault="00FC7AB5" w:rsidP="004752D9">
      <w:pPr>
        <w:widowControl w:val="0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C82B86">
        <w:rPr>
          <w:rFonts w:ascii="Calibri" w:hAnsi="Calibri"/>
          <w:i/>
        </w:rPr>
        <w:t>W ramach Przejęcia i Przekazania usług wsparcia utrzymania SWEZ i obsługi Zgłoszeń Serwisowych SWEZ Wykonawca:</w:t>
      </w:r>
    </w:p>
    <w:p w:rsidR="00FC7AB5" w:rsidRPr="00C82B86" w:rsidRDefault="00FC7AB5" w:rsidP="004752D9">
      <w:pPr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C82B86">
        <w:rPr>
          <w:rFonts w:ascii="Calibri" w:hAnsi="Calibri"/>
          <w:i/>
        </w:rPr>
        <w:t>Zaplanuje proces przejęcia i przekazania usług wsparcia utrzymania SWEZ i ob</w:t>
      </w:r>
      <w:r w:rsidR="005B3572">
        <w:rPr>
          <w:rFonts w:ascii="Calibri" w:hAnsi="Calibri"/>
          <w:i/>
        </w:rPr>
        <w:t>sługi Zgłoszeń Serwisowych SWEZ</w:t>
      </w:r>
      <w:r w:rsidR="00772FB3">
        <w:rPr>
          <w:rFonts w:ascii="Calibri" w:hAnsi="Calibri"/>
          <w:i/>
        </w:rPr>
        <w:t>.</w:t>
      </w:r>
    </w:p>
    <w:p w:rsidR="00FC7AB5" w:rsidRPr="00C82B86" w:rsidRDefault="00FC7AB5" w:rsidP="004752D9">
      <w:pPr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C82B86">
        <w:rPr>
          <w:rFonts w:ascii="Calibri" w:hAnsi="Calibri"/>
          <w:i/>
        </w:rPr>
        <w:t>W ramach Przejęcia zapozna się szczegółowo z architekturą i funkcjonalnością System</w:t>
      </w:r>
      <w:r w:rsidR="005B3572">
        <w:rPr>
          <w:rFonts w:ascii="Calibri" w:hAnsi="Calibri"/>
          <w:i/>
        </w:rPr>
        <w:t>u Wspomagania Ekonomiki Zakładu</w:t>
      </w:r>
      <w:r w:rsidR="00772FB3">
        <w:rPr>
          <w:rFonts w:ascii="Calibri" w:hAnsi="Calibri"/>
          <w:i/>
        </w:rPr>
        <w:t>.</w:t>
      </w:r>
    </w:p>
    <w:p w:rsidR="00FC7AB5" w:rsidRPr="00C82B86" w:rsidRDefault="00FC7AB5" w:rsidP="004752D9">
      <w:pPr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C82B86">
        <w:rPr>
          <w:rFonts w:ascii="Calibri" w:hAnsi="Calibri"/>
          <w:i/>
        </w:rPr>
        <w:t xml:space="preserve">W ramach Przejęcia zapozna się z dokumentacją i </w:t>
      </w:r>
      <w:r w:rsidR="005B3572">
        <w:rPr>
          <w:rFonts w:ascii="Calibri" w:hAnsi="Calibri"/>
          <w:i/>
        </w:rPr>
        <w:t>bazą wiedzy błędów i rozwiązań</w:t>
      </w:r>
      <w:r w:rsidR="00772FB3">
        <w:rPr>
          <w:rFonts w:ascii="Calibri" w:hAnsi="Calibri"/>
          <w:i/>
        </w:rPr>
        <w:t>.</w:t>
      </w:r>
    </w:p>
    <w:p w:rsidR="00FC7AB5" w:rsidRPr="00307112" w:rsidRDefault="00FC7AB5" w:rsidP="004752D9">
      <w:pPr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307112">
        <w:rPr>
          <w:rFonts w:ascii="Calibri" w:hAnsi="Calibri"/>
          <w:i/>
        </w:rPr>
        <w:t>Przejmie obowiązki związane z wykonywaniem czynności w ramach świadczenia usług wsparcia utrzymania SWEZ i obsługi Zgłoszeń Serwisowych SWEZ wraz z opraco</w:t>
      </w:r>
      <w:r w:rsidR="005B3572">
        <w:rPr>
          <w:rFonts w:ascii="Calibri" w:hAnsi="Calibri"/>
          <w:i/>
        </w:rPr>
        <w:t>waniem procedur utrzymania SWEZ</w:t>
      </w:r>
      <w:r w:rsidR="00772FB3">
        <w:rPr>
          <w:rFonts w:ascii="Calibri" w:hAnsi="Calibri"/>
          <w:i/>
        </w:rPr>
        <w:t>.</w:t>
      </w:r>
    </w:p>
    <w:p w:rsidR="00FC7AB5" w:rsidRPr="00307112" w:rsidRDefault="00FC7AB5" w:rsidP="004752D9">
      <w:pPr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307112">
        <w:rPr>
          <w:rFonts w:ascii="Calibri" w:hAnsi="Calibri"/>
          <w:i/>
        </w:rPr>
        <w:t>W ramach Przekazania przekaże wiedzę nt. architektury i funkcjonalności Syste</w:t>
      </w:r>
      <w:r w:rsidR="005B3572">
        <w:rPr>
          <w:rFonts w:ascii="Calibri" w:hAnsi="Calibri"/>
          <w:i/>
        </w:rPr>
        <w:t>mu Wspomagania Ekonomiki Zakład</w:t>
      </w:r>
      <w:r w:rsidR="00772FB3">
        <w:rPr>
          <w:rFonts w:ascii="Calibri" w:hAnsi="Calibri"/>
          <w:i/>
        </w:rPr>
        <w:t>.</w:t>
      </w:r>
    </w:p>
    <w:p w:rsidR="00FC7AB5" w:rsidRPr="00307112" w:rsidRDefault="00FC7AB5" w:rsidP="004752D9">
      <w:pPr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307112">
        <w:rPr>
          <w:rFonts w:ascii="Calibri" w:hAnsi="Calibri"/>
          <w:i/>
        </w:rPr>
        <w:t>W ramach Przekazania przekaże dokumentację i</w:t>
      </w:r>
      <w:r w:rsidR="005B3572">
        <w:rPr>
          <w:rFonts w:ascii="Calibri" w:hAnsi="Calibri"/>
          <w:i/>
        </w:rPr>
        <w:t xml:space="preserve"> bazę wiedzy błędów i rozwiązań</w:t>
      </w:r>
      <w:r w:rsidR="001E1FF1">
        <w:rPr>
          <w:rFonts w:ascii="Calibri" w:hAnsi="Calibri"/>
          <w:i/>
        </w:rPr>
        <w:t>.</w:t>
      </w:r>
    </w:p>
    <w:p w:rsidR="00FC7AB5" w:rsidRDefault="00FC7AB5" w:rsidP="004752D9">
      <w:pPr>
        <w:widowControl w:val="0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307112">
        <w:rPr>
          <w:rFonts w:ascii="Calibri" w:hAnsi="Calibri"/>
          <w:i/>
        </w:rPr>
        <w:t>W ramach Przekazania przekaże obowiązki związane z wykonywaniem czynności w ramach świadczenia usług wsparcia utrzymania SWEZ i obsługi Zgłoszeń Serwisowych SWEZ.</w:t>
      </w:r>
    </w:p>
    <w:p w:rsidR="00FC7AB5" w:rsidRPr="0079291D" w:rsidRDefault="00FC7AB5" w:rsidP="0079291D">
      <w:pPr>
        <w:widowControl w:val="0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79291D">
        <w:rPr>
          <w:i/>
        </w:rPr>
        <w:t xml:space="preserve">W przypadku wytworzenia produktów w ramach realizacji usług wymienionych w pkt. 1)-3), stanowiących utwory w rozumieniu przepisów ustawy z dnia 4 lutego 1994 r. o prawie </w:t>
      </w:r>
      <w:r w:rsidR="006865FA" w:rsidRPr="0079291D">
        <w:rPr>
          <w:i/>
        </w:rPr>
        <w:t xml:space="preserve">autorskim i prawach pokrewnych, </w:t>
      </w:r>
      <w:r w:rsidRPr="0079291D">
        <w:rPr>
          <w:i/>
        </w:rPr>
        <w:t>Wykonawca zobowiązany jest do przeniesienia na Zamawiającego autorskich praw majątkowych.</w:t>
      </w:r>
    </w:p>
    <w:p w:rsidR="00FC7AB5" w:rsidRPr="00FC7AB5" w:rsidRDefault="00FC7AB5" w:rsidP="00FC7AB5">
      <w:pPr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Calibri" w:hAnsi="Calibri"/>
          <w:i/>
        </w:rPr>
      </w:pPr>
    </w:p>
    <w:p w:rsidR="00FC7AB5" w:rsidRDefault="00FC7AB5" w:rsidP="004752D9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Termin wykonania przedmiotu umowy</w:t>
      </w:r>
    </w:p>
    <w:p w:rsidR="00FC7AB5" w:rsidRPr="00C059B4" w:rsidRDefault="00FC7AB5" w:rsidP="004752D9">
      <w:pPr>
        <w:widowControl w:val="0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C059B4">
        <w:rPr>
          <w:i/>
        </w:rPr>
        <w:t>Usługa wsparcia utrzymania SWEZ, będzie realizowana w okresie od dnia przejęcia usług</w:t>
      </w:r>
      <w:r w:rsidR="00851C2A" w:rsidRPr="00C059B4">
        <w:rPr>
          <w:i/>
        </w:rPr>
        <w:t xml:space="preserve"> </w:t>
      </w:r>
      <w:r w:rsidRPr="00C059B4">
        <w:rPr>
          <w:i/>
        </w:rPr>
        <w:t xml:space="preserve">do dnia zakończenia 36 miesiąca licząc od pierwszego dnia miesiąca kalendarzowego następującego po miesiącu, w którym nastąpiło przejęcie usług. </w:t>
      </w:r>
    </w:p>
    <w:p w:rsidR="00FC7AB5" w:rsidRPr="00C059B4" w:rsidRDefault="00FC7AB5" w:rsidP="004752D9">
      <w:pPr>
        <w:widowControl w:val="0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C059B4">
        <w:rPr>
          <w:i/>
        </w:rPr>
        <w:t>Usługa obsługi Zg</w:t>
      </w:r>
      <w:r w:rsidR="00851C2A" w:rsidRPr="00C059B4">
        <w:rPr>
          <w:i/>
        </w:rPr>
        <w:t xml:space="preserve">łoszeń Serwisowych SWEZ </w:t>
      </w:r>
      <w:r w:rsidRPr="00C059B4">
        <w:rPr>
          <w:i/>
        </w:rPr>
        <w:t>będzie realizowana w okresie od dnia przejęcia usług do dnia zakończenia 36 miesiąca licząc od pierwszego dnia miesiąca kalendarzowego następującego po miesiącu, w którym nastąpiło przejęcie usług.</w:t>
      </w:r>
    </w:p>
    <w:p w:rsidR="00FC7AB5" w:rsidRPr="00C059B4" w:rsidRDefault="00FC7AB5" w:rsidP="004752D9">
      <w:pPr>
        <w:widowControl w:val="0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C059B4">
        <w:rPr>
          <w:i/>
        </w:rPr>
        <w:t>Usłu</w:t>
      </w:r>
      <w:r w:rsidR="00851C2A" w:rsidRPr="00C059B4">
        <w:rPr>
          <w:i/>
        </w:rPr>
        <w:t xml:space="preserve">ga realizacji Zleceń dodatkowych </w:t>
      </w:r>
      <w:r w:rsidRPr="00C059B4">
        <w:rPr>
          <w:i/>
        </w:rPr>
        <w:t xml:space="preserve">będzie realizowana w okresie od dnia uzgodnionego między Wykonawcą i Zamawiającym, jednak nie później niż od dnia </w:t>
      </w:r>
      <w:r w:rsidRPr="00C059B4">
        <w:rPr>
          <w:i/>
        </w:rPr>
        <w:lastRenderedPageBreak/>
        <w:t>przejęcia usług</w:t>
      </w:r>
      <w:r w:rsidR="001E1FF1">
        <w:rPr>
          <w:i/>
        </w:rPr>
        <w:t xml:space="preserve"> wymienionych w pkt. 1)-2) do końca trwania umowy</w:t>
      </w:r>
      <w:r w:rsidRPr="00C059B4">
        <w:rPr>
          <w:i/>
        </w:rPr>
        <w:t>.</w:t>
      </w:r>
    </w:p>
    <w:p w:rsidR="00FC7AB5" w:rsidRPr="00C059B4" w:rsidRDefault="00FC7AB5" w:rsidP="004752D9">
      <w:pPr>
        <w:widowControl w:val="0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C059B4">
        <w:rPr>
          <w:i/>
        </w:rPr>
        <w:t xml:space="preserve">Udostępnienie administratorów systemów </w:t>
      </w:r>
      <w:proofErr w:type="spellStart"/>
      <w:r w:rsidRPr="00C059B4">
        <w:rPr>
          <w:i/>
        </w:rPr>
        <w:t>SAPbędzie</w:t>
      </w:r>
      <w:proofErr w:type="spellEnd"/>
      <w:r w:rsidRPr="00C059B4">
        <w:rPr>
          <w:i/>
        </w:rPr>
        <w:t xml:space="preserve"> realizowane krótkoterminowo (do 3 miesięcy) - w okresach uzgodnionych między Zamawiającym i Wykonawcą, na podstawie złożonych wniosków na realizację Zleceń dodatkowych, oraz długoterminowo (3 miesiące i dłużej) - w okresach uzgodnionych między Zamawiającym i Wykonawcą, na podstawie złożonych Zamówień</w:t>
      </w:r>
      <w:r w:rsidR="00851C2A" w:rsidRPr="00C059B4">
        <w:rPr>
          <w:i/>
        </w:rPr>
        <w:t xml:space="preserve"> z 1-miesięcznym wyprzedzeniem</w:t>
      </w:r>
      <w:r w:rsidRPr="00C059B4">
        <w:rPr>
          <w:i/>
        </w:rPr>
        <w:t xml:space="preserve">. </w:t>
      </w:r>
    </w:p>
    <w:p w:rsidR="00FC7AB5" w:rsidRPr="00C059B4" w:rsidRDefault="00FC7AB5" w:rsidP="004752D9">
      <w:pPr>
        <w:widowControl w:val="0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C059B4">
        <w:rPr>
          <w:i/>
        </w:rPr>
        <w:t>Przejęcie usług: wsparcia utrzymania SWEZ i obsługi Zgłoszeń Serwisowych SWEZ nastąpi w terminie nie później niż do 60</w:t>
      </w:r>
      <w:r w:rsidR="00AF6C9F" w:rsidRPr="00C059B4">
        <w:rPr>
          <w:i/>
        </w:rPr>
        <w:t>.</w:t>
      </w:r>
      <w:r w:rsidRPr="00C059B4">
        <w:rPr>
          <w:i/>
        </w:rPr>
        <w:t xml:space="preserve"> dnia roboczego od daty podpisania </w:t>
      </w:r>
      <w:r w:rsidR="001E1FF1">
        <w:rPr>
          <w:i/>
        </w:rPr>
        <w:t>u</w:t>
      </w:r>
      <w:r w:rsidRPr="00C059B4">
        <w:rPr>
          <w:i/>
        </w:rPr>
        <w:t xml:space="preserve">mowy i nie wcześniej niż od pierwszego dnia miesiąca następującego po miesiącu, w którym została podpisana </w:t>
      </w:r>
      <w:r w:rsidR="001E1FF1">
        <w:rPr>
          <w:i/>
        </w:rPr>
        <w:t>u</w:t>
      </w:r>
      <w:r w:rsidRPr="00C059B4">
        <w:rPr>
          <w:i/>
        </w:rPr>
        <w:t xml:space="preserve">mowa. </w:t>
      </w:r>
    </w:p>
    <w:p w:rsidR="00AF6C9F" w:rsidRPr="00C059B4" w:rsidRDefault="00FC7AB5" w:rsidP="004752D9">
      <w:pPr>
        <w:widowControl w:val="0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C059B4">
        <w:rPr>
          <w:i/>
        </w:rPr>
        <w:t>Przekazanie usług: wsparcia utrzymania SWEZ i obsługi Zgłoszeń Serwisowych SWEZ Wykonawca zrealizuje nie później niż w dniu zakończenia świadczenia usług: wsparcia utrzymania SWEZ i obsługi Zgłoszeń Serwisowych SWEZ</w:t>
      </w:r>
      <w:r w:rsidR="001E1FF1">
        <w:rPr>
          <w:i/>
        </w:rPr>
        <w:t>.</w:t>
      </w:r>
    </w:p>
    <w:p w:rsidR="00FC7AB5" w:rsidRPr="00C059B4" w:rsidRDefault="00FC7AB5" w:rsidP="004752D9">
      <w:pPr>
        <w:widowControl w:val="0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C059B4">
        <w:rPr>
          <w:i/>
        </w:rPr>
        <w:t xml:space="preserve">Data </w:t>
      </w:r>
      <w:r w:rsidR="00AF6C9F" w:rsidRPr="00C059B4">
        <w:rPr>
          <w:i/>
        </w:rPr>
        <w:t>zakończenia</w:t>
      </w:r>
      <w:r w:rsidRPr="00C059B4">
        <w:rPr>
          <w:i/>
        </w:rPr>
        <w:t xml:space="preserve"> świadczenia Usługi wsparcia utrzymania SWEZ i Usługi obsługi Zgłoszeń Serwisowych SWEZ musi być wspólna dla tych usług. </w:t>
      </w:r>
    </w:p>
    <w:p w:rsidR="00FC7AB5" w:rsidRPr="00C059B4" w:rsidRDefault="00FC7AB5" w:rsidP="004752D9">
      <w:pPr>
        <w:widowControl w:val="0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/>
        </w:rPr>
      </w:pPr>
      <w:r w:rsidRPr="00C059B4">
        <w:rPr>
          <w:i/>
        </w:rPr>
        <w:t xml:space="preserve">Umowa obowiązuje od momentu podpisania </w:t>
      </w:r>
      <w:r w:rsidR="001E1FF1">
        <w:rPr>
          <w:i/>
        </w:rPr>
        <w:t>u</w:t>
      </w:r>
      <w:r w:rsidRPr="00C059B4">
        <w:rPr>
          <w:i/>
        </w:rPr>
        <w:t xml:space="preserve">mowy przez 41 miesięcy, licząc od pierwszego dnia miesiąca kalendarzowego następującego po miesiącu, w którym nastąpiło podpisanie </w:t>
      </w:r>
      <w:r w:rsidR="001E1FF1">
        <w:rPr>
          <w:i/>
        </w:rPr>
        <w:t>u</w:t>
      </w:r>
      <w:r w:rsidRPr="00C059B4">
        <w:rPr>
          <w:i/>
        </w:rPr>
        <w:t xml:space="preserve">mowy. </w:t>
      </w:r>
    </w:p>
    <w:p w:rsidR="00623D13" w:rsidRPr="00F27DFA" w:rsidRDefault="00623D13" w:rsidP="0038556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F27DF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Ogólne informacje:</w:t>
      </w:r>
    </w:p>
    <w:p w:rsidR="004819C0" w:rsidRDefault="004819C0" w:rsidP="004819C0">
      <w:pPr>
        <w:pStyle w:val="Akapitzlist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Zamawiający nie przewiduje podziału zamówienia na części.</w:t>
      </w:r>
    </w:p>
    <w:p w:rsidR="00623D13" w:rsidRPr="00F27DFA" w:rsidRDefault="00623D13" w:rsidP="004819C0">
      <w:pPr>
        <w:pStyle w:val="Akapitzlist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F27DFA">
        <w:rPr>
          <w:rFonts w:ascii="Verdana" w:hAnsi="Verdana"/>
          <w:sz w:val="18"/>
          <w:szCs w:val="18"/>
        </w:rPr>
        <w:t>Każdy podmiot może przesłać jedną ofertę cenową na całość przedmiotu zapytania.</w:t>
      </w:r>
    </w:p>
    <w:p w:rsidR="00C253C4" w:rsidRPr="00E91EB6" w:rsidRDefault="003F0B46" w:rsidP="000C017E">
      <w:pPr>
        <w:pStyle w:val="Akapitzlist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C54826">
        <w:rPr>
          <w:rFonts w:ascii="Verdana" w:hAnsi="Verdana"/>
          <w:sz w:val="18"/>
          <w:szCs w:val="18"/>
        </w:rPr>
        <w:t xml:space="preserve">Opis systemu </w:t>
      </w:r>
      <w:r w:rsidR="006C19B8" w:rsidRPr="00C54826">
        <w:rPr>
          <w:rFonts w:ascii="Verdana" w:hAnsi="Verdana"/>
          <w:sz w:val="18"/>
          <w:szCs w:val="18"/>
        </w:rPr>
        <w:t>SWEZ, bazującego na produktach SAP</w:t>
      </w:r>
      <w:r w:rsidR="00606588" w:rsidRPr="00C54826">
        <w:rPr>
          <w:rFonts w:ascii="Verdana" w:hAnsi="Verdana"/>
          <w:sz w:val="18"/>
          <w:szCs w:val="18"/>
        </w:rPr>
        <w:t xml:space="preserve">, </w:t>
      </w:r>
      <w:r w:rsidR="00C54826">
        <w:rPr>
          <w:rFonts w:ascii="Verdana" w:hAnsi="Verdana"/>
          <w:sz w:val="18"/>
          <w:szCs w:val="18"/>
        </w:rPr>
        <w:t>które będą podlegać ww. usłu</w:t>
      </w:r>
      <w:r w:rsidR="00FC7AB5">
        <w:rPr>
          <w:rFonts w:ascii="Verdana" w:hAnsi="Verdana"/>
          <w:sz w:val="18"/>
          <w:szCs w:val="18"/>
        </w:rPr>
        <w:t>gom</w:t>
      </w:r>
      <w:r w:rsidR="00C54826">
        <w:rPr>
          <w:rFonts w:ascii="Verdana" w:hAnsi="Verdana"/>
          <w:sz w:val="18"/>
          <w:szCs w:val="18"/>
        </w:rPr>
        <w:t xml:space="preserve"> </w:t>
      </w:r>
      <w:r w:rsidR="00606588" w:rsidRPr="00C54826">
        <w:rPr>
          <w:rFonts w:ascii="Verdana" w:hAnsi="Verdana"/>
          <w:sz w:val="18"/>
          <w:szCs w:val="18"/>
        </w:rPr>
        <w:t xml:space="preserve"> </w:t>
      </w:r>
      <w:r w:rsidR="006C19B8" w:rsidRPr="00C54826">
        <w:rPr>
          <w:rFonts w:ascii="Verdana" w:hAnsi="Verdana"/>
          <w:sz w:val="18"/>
          <w:szCs w:val="18"/>
        </w:rPr>
        <w:t xml:space="preserve"> zawiera załącznik</w:t>
      </w:r>
      <w:r w:rsidR="00C54826">
        <w:rPr>
          <w:rFonts w:ascii="Verdana" w:hAnsi="Verdana"/>
          <w:sz w:val="18"/>
          <w:szCs w:val="18"/>
        </w:rPr>
        <w:t xml:space="preserve"> „</w:t>
      </w:r>
      <w:proofErr w:type="spellStart"/>
      <w:r w:rsidR="00C54826">
        <w:rPr>
          <w:rFonts w:ascii="Verdana" w:hAnsi="Verdana"/>
          <w:sz w:val="18"/>
          <w:szCs w:val="18"/>
        </w:rPr>
        <w:t>ZUS_SWEZ_O</w:t>
      </w:r>
      <w:r w:rsidR="001A244B" w:rsidRPr="00C54826">
        <w:rPr>
          <w:rFonts w:ascii="Verdana" w:hAnsi="Verdana"/>
          <w:sz w:val="18"/>
          <w:szCs w:val="18"/>
        </w:rPr>
        <w:t>pisSrodowiska</w:t>
      </w:r>
      <w:proofErr w:type="spellEnd"/>
      <w:r w:rsidR="001A244B" w:rsidRPr="00C54826">
        <w:rPr>
          <w:rFonts w:ascii="Verdana" w:hAnsi="Verdana"/>
          <w:sz w:val="18"/>
          <w:szCs w:val="18"/>
        </w:rPr>
        <w:t>”</w:t>
      </w:r>
      <w:r w:rsidR="00623D13" w:rsidRPr="00C54826">
        <w:rPr>
          <w:rFonts w:ascii="Verdana" w:hAnsi="Verdana"/>
          <w:sz w:val="18"/>
          <w:szCs w:val="18"/>
        </w:rPr>
        <w:t>.</w:t>
      </w:r>
      <w:r w:rsidR="00C253C4">
        <w:rPr>
          <w:rFonts w:ascii="Verdana" w:hAnsi="Verdana"/>
          <w:sz w:val="18"/>
          <w:szCs w:val="18"/>
        </w:rPr>
        <w:t xml:space="preserve"> </w:t>
      </w:r>
    </w:p>
    <w:p w:rsidR="00623D13" w:rsidRPr="00F27DFA" w:rsidRDefault="00623D13" w:rsidP="004819C0">
      <w:pPr>
        <w:pStyle w:val="Akapitzlist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F27DFA">
        <w:rPr>
          <w:rFonts w:ascii="Verdana" w:hAnsi="Verdana"/>
          <w:sz w:val="18"/>
          <w:szCs w:val="18"/>
        </w:rPr>
        <w:t>Oferta cenowa będzie podstawą do oszacowania wartości zamówienia.</w:t>
      </w:r>
    </w:p>
    <w:p w:rsidR="00623D13" w:rsidRPr="00F27DFA" w:rsidRDefault="00623D13" w:rsidP="004819C0">
      <w:pPr>
        <w:pStyle w:val="Akapitzlist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F27DFA">
        <w:rPr>
          <w:rFonts w:ascii="Verdana" w:hAnsi="Verdana"/>
          <w:sz w:val="18"/>
          <w:szCs w:val="18"/>
        </w:rPr>
        <w:t>Niniejsze zapytanie nie stanowi oferty zawarcia umowy w rozumieniu przepisów Kodeksu Cywilnego.</w:t>
      </w:r>
    </w:p>
    <w:p w:rsidR="00623D13" w:rsidRPr="00F27DFA" w:rsidRDefault="00623D13" w:rsidP="004819C0">
      <w:pPr>
        <w:pStyle w:val="Akapitzlist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F27DFA">
        <w:rPr>
          <w:rFonts w:ascii="Verdana" w:hAnsi="Verdana"/>
          <w:sz w:val="18"/>
          <w:szCs w:val="18"/>
        </w:rPr>
        <w:t>Potencjalni składający nie będą uprawnieni do występowania z jakimikolwiek roszczeniami pieniężnymi lub niepieniężnymi w związku z przygotowaniem odpowiedzi na niniejsze zapytanie.</w:t>
      </w:r>
    </w:p>
    <w:p w:rsidR="00623D13" w:rsidRPr="00F27DFA" w:rsidRDefault="00623D13" w:rsidP="004819C0">
      <w:pPr>
        <w:pStyle w:val="Akapitzlist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 w:rsidRPr="00F27DFA">
        <w:rPr>
          <w:rFonts w:ascii="Verdana" w:hAnsi="Verdana"/>
          <w:sz w:val="18"/>
          <w:szCs w:val="18"/>
        </w:rPr>
        <w:t>Treść dokumentu, wszelkie informacje, do których się odwołuje oraz prowadzona korespondencja i rozmowy muszą zostać zachowane w tajemnicy. Przesyłający ofertę jest zobowiązany do nie udostępniania osobom trzecim informacji uzyskanych w</w:t>
      </w:r>
      <w:r w:rsidR="0038556A" w:rsidRPr="00F27DFA">
        <w:rPr>
          <w:rFonts w:ascii="Verdana" w:hAnsi="Verdana"/>
          <w:sz w:val="18"/>
          <w:szCs w:val="18"/>
        </w:rPr>
        <w:t xml:space="preserve"> </w:t>
      </w:r>
      <w:r w:rsidRPr="00F27DFA">
        <w:rPr>
          <w:rFonts w:ascii="Verdana" w:hAnsi="Verdana"/>
          <w:sz w:val="18"/>
          <w:szCs w:val="18"/>
        </w:rPr>
        <w:t>związku z zapytaniem bez pisemnej zgodny i upoważnienia ze strony ZUS.</w:t>
      </w:r>
    </w:p>
    <w:p w:rsidR="00623D13" w:rsidRPr="00F27DFA" w:rsidRDefault="00623D13" w:rsidP="0038556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F27DF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Termin i sposób złożenia odpowiedzi:</w:t>
      </w:r>
    </w:p>
    <w:p w:rsidR="00623D13" w:rsidRPr="00F27DFA" w:rsidRDefault="00623D13" w:rsidP="0038556A">
      <w:pPr>
        <w:spacing w:after="0" w:line="360" w:lineRule="auto"/>
        <w:ind w:left="425"/>
        <w:jc w:val="both"/>
        <w:rPr>
          <w:rFonts w:ascii="Verdana" w:hAnsi="Verdana"/>
          <w:sz w:val="18"/>
          <w:szCs w:val="18"/>
          <w:lang w:eastAsia="ar-SA"/>
        </w:rPr>
      </w:pPr>
      <w:r w:rsidRPr="00F27DFA">
        <w:rPr>
          <w:rFonts w:ascii="Verdana" w:hAnsi="Verdana"/>
          <w:sz w:val="18"/>
          <w:szCs w:val="18"/>
          <w:lang w:eastAsia="ar-SA"/>
        </w:rPr>
        <w:t xml:space="preserve">Odpowiedzi należy przesłać w terminie do </w:t>
      </w:r>
      <w:r w:rsidR="00FC7AB5">
        <w:rPr>
          <w:rFonts w:ascii="Verdana" w:hAnsi="Verdana"/>
          <w:sz w:val="18"/>
          <w:szCs w:val="18"/>
          <w:lang w:eastAsia="ar-SA"/>
        </w:rPr>
        <w:t>03.08</w:t>
      </w:r>
      <w:r w:rsidR="004C5D95">
        <w:rPr>
          <w:rFonts w:ascii="Verdana" w:hAnsi="Verdana"/>
          <w:sz w:val="18"/>
          <w:szCs w:val="18"/>
          <w:lang w:eastAsia="ar-SA"/>
        </w:rPr>
        <w:t>.2018r.</w:t>
      </w:r>
      <w:r w:rsidRPr="00C54826">
        <w:rPr>
          <w:rFonts w:ascii="Verdana" w:hAnsi="Verdana"/>
          <w:sz w:val="18"/>
          <w:szCs w:val="18"/>
          <w:lang w:eastAsia="ar-SA"/>
        </w:rPr>
        <w:t>,</w:t>
      </w:r>
      <w:r w:rsidRPr="00F27DFA">
        <w:rPr>
          <w:rFonts w:ascii="Verdana" w:hAnsi="Verdana"/>
          <w:sz w:val="18"/>
          <w:szCs w:val="18"/>
          <w:lang w:eastAsia="ar-SA"/>
        </w:rPr>
        <w:t xml:space="preserve"> na adresy e-mailowe</w:t>
      </w:r>
    </w:p>
    <w:p w:rsidR="0038556A" w:rsidRPr="00F27DFA" w:rsidRDefault="002D24C8" w:rsidP="0038556A">
      <w:pPr>
        <w:spacing w:after="0" w:line="360" w:lineRule="auto"/>
        <w:ind w:left="851"/>
        <w:jc w:val="both"/>
        <w:rPr>
          <w:rFonts w:ascii="Verdana" w:hAnsi="Verdana"/>
          <w:sz w:val="18"/>
          <w:szCs w:val="18"/>
          <w:lang w:eastAsia="ar-SA"/>
        </w:rPr>
      </w:pPr>
      <w:hyperlink r:id="rId6" w:history="1">
        <w:r w:rsidR="00FA3A45">
          <w:rPr>
            <w:rStyle w:val="Hipercze"/>
            <w:rFonts w:ascii="Verdana" w:hAnsi="Verdana"/>
            <w:sz w:val="18"/>
            <w:szCs w:val="18"/>
            <w:lang w:eastAsia="ar-SA"/>
          </w:rPr>
          <w:t>wojciech.waluk@zus.pl</w:t>
        </w:r>
      </w:hyperlink>
    </w:p>
    <w:p w:rsidR="00623D13" w:rsidRPr="00F27DFA" w:rsidRDefault="002D24C8" w:rsidP="0038556A">
      <w:pPr>
        <w:spacing w:after="0" w:line="360" w:lineRule="auto"/>
        <w:ind w:left="851"/>
        <w:jc w:val="both"/>
        <w:rPr>
          <w:rFonts w:ascii="Verdana" w:hAnsi="Verdana"/>
          <w:sz w:val="18"/>
          <w:szCs w:val="18"/>
          <w:lang w:eastAsia="ar-SA"/>
        </w:rPr>
      </w:pPr>
      <w:hyperlink r:id="rId7" w:history="1">
        <w:r w:rsidR="0038556A" w:rsidRPr="00F27DFA">
          <w:rPr>
            <w:rStyle w:val="Hipercze"/>
            <w:rFonts w:ascii="Verdana" w:hAnsi="Verdana"/>
            <w:sz w:val="18"/>
            <w:szCs w:val="18"/>
            <w:lang w:eastAsia="ar-SA"/>
          </w:rPr>
          <w:t>marta.sadlo01@zus.pl</w:t>
        </w:r>
      </w:hyperlink>
    </w:p>
    <w:p w:rsidR="000C017E" w:rsidRDefault="000C017E" w:rsidP="0038556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</w:pPr>
    </w:p>
    <w:p w:rsidR="00BB0468" w:rsidRDefault="00BB0468" w:rsidP="0038556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</w:pPr>
    </w:p>
    <w:p w:rsidR="00623D13" w:rsidRPr="00F27DFA" w:rsidRDefault="00623D13" w:rsidP="0038556A">
      <w:pPr>
        <w:shd w:val="clear" w:color="auto" w:fill="FFFFFF"/>
        <w:spacing w:before="100" w:beforeAutospacing="1" w:after="100" w:afterAutospacing="1" w:line="336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</w:pPr>
      <w:r w:rsidRPr="00F27DF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lastRenderedPageBreak/>
        <w:t>Sposób przygotowania oferty cenowej:</w:t>
      </w:r>
    </w:p>
    <w:p w:rsidR="00623D13" w:rsidRPr="00F27DFA" w:rsidRDefault="00623D13" w:rsidP="0038556A">
      <w:pPr>
        <w:spacing w:after="0" w:line="360" w:lineRule="auto"/>
        <w:ind w:left="425"/>
        <w:jc w:val="both"/>
        <w:rPr>
          <w:rFonts w:ascii="Verdana" w:hAnsi="Verdana"/>
          <w:sz w:val="18"/>
          <w:szCs w:val="18"/>
          <w:lang w:eastAsia="ar-SA"/>
        </w:rPr>
      </w:pPr>
      <w:r w:rsidRPr="00F27DFA">
        <w:rPr>
          <w:rFonts w:ascii="Verdana" w:hAnsi="Verdana"/>
          <w:sz w:val="18"/>
          <w:szCs w:val="18"/>
          <w:lang w:eastAsia="ar-SA"/>
        </w:rPr>
        <w:t>Oferta powinna zawierać:</w:t>
      </w:r>
    </w:p>
    <w:p w:rsidR="00623D13" w:rsidRPr="00F27DFA" w:rsidRDefault="004819C0" w:rsidP="0038556A">
      <w:pPr>
        <w:pStyle w:val="Akapitzlist"/>
        <w:numPr>
          <w:ilvl w:val="0"/>
          <w:numId w:val="10"/>
        </w:numPr>
        <w:tabs>
          <w:tab w:val="clear" w:pos="720"/>
        </w:tabs>
        <w:spacing w:after="0" w:line="360" w:lineRule="auto"/>
        <w:ind w:left="709" w:hanging="283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informację o </w:t>
      </w:r>
      <w:r w:rsidR="001E1FF1">
        <w:rPr>
          <w:rFonts w:ascii="Verdana" w:hAnsi="Verdana"/>
          <w:sz w:val="18"/>
          <w:szCs w:val="18"/>
        </w:rPr>
        <w:t>W</w:t>
      </w:r>
      <w:r>
        <w:rPr>
          <w:rFonts w:ascii="Verdana" w:hAnsi="Verdana"/>
          <w:sz w:val="18"/>
          <w:szCs w:val="18"/>
        </w:rPr>
        <w:t>ykonawcy,</w:t>
      </w:r>
    </w:p>
    <w:p w:rsidR="00623D13" w:rsidRPr="00F27DFA" w:rsidRDefault="00623D13" w:rsidP="0038556A">
      <w:pPr>
        <w:pStyle w:val="Akapitzlist"/>
        <w:numPr>
          <w:ilvl w:val="0"/>
          <w:numId w:val="10"/>
        </w:numPr>
        <w:tabs>
          <w:tab w:val="clear" w:pos="720"/>
        </w:tabs>
        <w:spacing w:after="0" w:line="360" w:lineRule="auto"/>
        <w:ind w:left="709" w:hanging="283"/>
        <w:contextualSpacing w:val="0"/>
        <w:jc w:val="both"/>
        <w:rPr>
          <w:rFonts w:ascii="Verdana" w:hAnsi="Verdana"/>
          <w:sz w:val="18"/>
          <w:szCs w:val="18"/>
        </w:rPr>
      </w:pPr>
      <w:r w:rsidRPr="00F27DFA">
        <w:rPr>
          <w:rFonts w:ascii="Verdana" w:hAnsi="Verdana"/>
          <w:sz w:val="18"/>
          <w:szCs w:val="18"/>
        </w:rPr>
        <w:t>wykaz osób uprawnionych do kontaktu z ZUS wraz z danymi do kontaktu (adres,</w:t>
      </w:r>
      <w:r w:rsidR="00425E98" w:rsidRPr="00F27DFA">
        <w:rPr>
          <w:rFonts w:ascii="Verdana" w:hAnsi="Verdana"/>
          <w:sz w:val="18"/>
          <w:szCs w:val="18"/>
        </w:rPr>
        <w:t xml:space="preserve"> </w:t>
      </w:r>
      <w:r w:rsidR="004819C0">
        <w:rPr>
          <w:rFonts w:ascii="Verdana" w:hAnsi="Verdana"/>
          <w:sz w:val="18"/>
          <w:szCs w:val="18"/>
        </w:rPr>
        <w:t>telefon, faks, email),</w:t>
      </w:r>
    </w:p>
    <w:p w:rsidR="00A433E7" w:rsidRDefault="004819C0" w:rsidP="00A433E7">
      <w:pPr>
        <w:pStyle w:val="Akapitzlist"/>
        <w:numPr>
          <w:ilvl w:val="0"/>
          <w:numId w:val="10"/>
        </w:numPr>
        <w:tabs>
          <w:tab w:val="clear" w:pos="720"/>
        </w:tabs>
        <w:spacing w:after="0" w:line="360" w:lineRule="auto"/>
        <w:ind w:left="709" w:hanging="283"/>
        <w:contextualSpacing w:val="0"/>
        <w:jc w:val="both"/>
        <w:rPr>
          <w:rFonts w:ascii="Verdana" w:hAnsi="Verdana"/>
          <w:sz w:val="18"/>
          <w:szCs w:val="18"/>
        </w:rPr>
      </w:pPr>
      <w:r w:rsidRPr="000C017E">
        <w:rPr>
          <w:rFonts w:ascii="Verdana" w:hAnsi="Verdana"/>
          <w:sz w:val="18"/>
          <w:szCs w:val="18"/>
        </w:rPr>
        <w:t xml:space="preserve">wartość zamówienia brutto w odniesieniu do </w:t>
      </w:r>
      <w:r w:rsidR="00B040A3">
        <w:rPr>
          <w:rFonts w:ascii="Verdana" w:hAnsi="Verdana"/>
          <w:sz w:val="18"/>
          <w:szCs w:val="18"/>
        </w:rPr>
        <w:t>poszczególnych usług:</w:t>
      </w:r>
      <w:r w:rsidR="00606588" w:rsidRPr="000C017E">
        <w:rPr>
          <w:rFonts w:ascii="Verdana" w:hAnsi="Verdana"/>
          <w:sz w:val="18"/>
          <w:szCs w:val="18"/>
        </w:rPr>
        <w:t xml:space="preserve"> </w:t>
      </w:r>
    </w:p>
    <w:tbl>
      <w:tblPr>
        <w:tblW w:w="9649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5"/>
        <w:gridCol w:w="1301"/>
        <w:gridCol w:w="1943"/>
        <w:gridCol w:w="2126"/>
        <w:gridCol w:w="1984"/>
      </w:tblGrid>
      <w:tr w:rsidR="001B6CF7" w:rsidRPr="0089283A" w:rsidTr="002D24C8">
        <w:trPr>
          <w:trHeight w:val="693"/>
        </w:trPr>
        <w:tc>
          <w:tcPr>
            <w:tcW w:w="22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C0C0C0"/>
            <w:noWrap/>
            <w:hideMark/>
          </w:tcPr>
          <w:p w:rsidR="00543386" w:rsidRPr="0089283A" w:rsidRDefault="00543386" w:rsidP="0054338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9283A">
              <w:rPr>
                <w:rFonts w:ascii="Arial" w:eastAsia="Times New Roman" w:hAnsi="Arial" w:cs="Arial"/>
                <w:sz w:val="18"/>
                <w:szCs w:val="18"/>
              </w:rPr>
              <w:t xml:space="preserve">Nazwa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usługi</w:t>
            </w:r>
          </w:p>
        </w:tc>
        <w:tc>
          <w:tcPr>
            <w:tcW w:w="13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C0C0C0"/>
            <w:noWrap/>
            <w:hideMark/>
          </w:tcPr>
          <w:p w:rsidR="00543386" w:rsidRPr="0089283A" w:rsidRDefault="00543386" w:rsidP="00B87C7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9283A">
              <w:rPr>
                <w:rFonts w:ascii="Arial" w:eastAsia="Times New Roman" w:hAnsi="Arial" w:cs="Arial"/>
                <w:sz w:val="18"/>
                <w:szCs w:val="18"/>
              </w:rPr>
              <w:t>Jednostka</w:t>
            </w:r>
          </w:p>
        </w:tc>
        <w:tc>
          <w:tcPr>
            <w:tcW w:w="1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C0C0C0"/>
            <w:hideMark/>
          </w:tcPr>
          <w:p w:rsidR="00543386" w:rsidRDefault="00543386" w:rsidP="00B87C7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Cena jednostkowa </w:t>
            </w:r>
            <w:r>
              <w:rPr>
                <w:rFonts w:ascii="Verdana" w:hAnsi="Verdana"/>
                <w:sz w:val="18"/>
                <w:szCs w:val="18"/>
              </w:rPr>
              <w:t>brutto w PLN</w:t>
            </w:r>
          </w:p>
          <w:p w:rsidR="00543386" w:rsidRPr="0089283A" w:rsidRDefault="00543386" w:rsidP="00B87C7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C0C0C0"/>
          </w:tcPr>
          <w:p w:rsidR="00543386" w:rsidRPr="0089283A" w:rsidRDefault="00543386" w:rsidP="00B87C7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Ilość jednostek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C0C0C0"/>
          </w:tcPr>
          <w:p w:rsidR="00543386" w:rsidRDefault="001C2009" w:rsidP="006B734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Wartość</w:t>
            </w:r>
            <w:r w:rsidR="00543386">
              <w:rPr>
                <w:rFonts w:ascii="Verdana" w:hAnsi="Verdana"/>
                <w:sz w:val="18"/>
                <w:szCs w:val="18"/>
              </w:rPr>
              <w:t xml:space="preserve"> brutto za </w:t>
            </w:r>
            <w:r w:rsidR="001E1FF1">
              <w:rPr>
                <w:rFonts w:ascii="Verdana" w:hAnsi="Verdana"/>
                <w:sz w:val="18"/>
                <w:szCs w:val="18"/>
              </w:rPr>
              <w:t xml:space="preserve">cały </w:t>
            </w:r>
            <w:r>
              <w:rPr>
                <w:rFonts w:ascii="Verdana" w:hAnsi="Verdana"/>
                <w:sz w:val="18"/>
                <w:szCs w:val="18"/>
              </w:rPr>
              <w:t>okres</w:t>
            </w:r>
            <w:r w:rsidR="00543386">
              <w:rPr>
                <w:rFonts w:ascii="Verdana" w:hAnsi="Verdana"/>
                <w:sz w:val="18"/>
                <w:szCs w:val="18"/>
              </w:rPr>
              <w:t xml:space="preserve"> świadczenia usługi w PLN</w:t>
            </w:r>
          </w:p>
          <w:p w:rsidR="001B6CF7" w:rsidRDefault="001B6CF7" w:rsidP="006B734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[</w:t>
            </w:r>
            <w:r w:rsidR="001E1FF1">
              <w:rPr>
                <w:rFonts w:ascii="Verdana" w:hAnsi="Verdana"/>
                <w:sz w:val="18"/>
                <w:szCs w:val="18"/>
              </w:rPr>
              <w:t xml:space="preserve">kol. </w:t>
            </w:r>
            <w:r>
              <w:rPr>
                <w:rFonts w:ascii="Verdana" w:hAnsi="Verdana"/>
                <w:sz w:val="18"/>
                <w:szCs w:val="18"/>
              </w:rPr>
              <w:t>3x</w:t>
            </w:r>
            <w:r w:rsidR="001E1FF1">
              <w:rPr>
                <w:rFonts w:ascii="Verdana" w:hAnsi="Verdana"/>
                <w:sz w:val="18"/>
                <w:szCs w:val="18"/>
              </w:rPr>
              <w:t xml:space="preserve"> kol. </w:t>
            </w:r>
            <w:r>
              <w:rPr>
                <w:rFonts w:ascii="Verdana" w:hAnsi="Verdana"/>
                <w:sz w:val="18"/>
                <w:szCs w:val="18"/>
              </w:rPr>
              <w:t>4]</w:t>
            </w:r>
          </w:p>
          <w:p w:rsidR="001E1FF1" w:rsidRPr="001E1FF1" w:rsidRDefault="001E1FF1" w:rsidP="006B734A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1E1FF1">
              <w:rPr>
                <w:rFonts w:ascii="Verdana" w:hAnsi="Verdana"/>
                <w:i/>
                <w:sz w:val="16"/>
                <w:szCs w:val="16"/>
              </w:rPr>
              <w:t>(z wyłączeniem ostatniego wiersza)</w:t>
            </w:r>
          </w:p>
        </w:tc>
      </w:tr>
      <w:tr w:rsidR="001B6CF7" w:rsidRPr="0089283A" w:rsidTr="002D24C8">
        <w:trPr>
          <w:trHeight w:val="276"/>
        </w:trPr>
        <w:tc>
          <w:tcPr>
            <w:tcW w:w="22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C0C0C0"/>
            <w:noWrap/>
          </w:tcPr>
          <w:p w:rsidR="001B6CF7" w:rsidRPr="0089283A" w:rsidRDefault="001B6CF7" w:rsidP="0054338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3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C0C0C0"/>
            <w:noWrap/>
          </w:tcPr>
          <w:p w:rsidR="001B6CF7" w:rsidRPr="0089283A" w:rsidRDefault="001B6CF7" w:rsidP="00B87C7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9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C0C0C0"/>
          </w:tcPr>
          <w:p w:rsidR="001B6CF7" w:rsidRDefault="001B6CF7" w:rsidP="00B87C7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C0C0C0"/>
          </w:tcPr>
          <w:p w:rsidR="001B6CF7" w:rsidRDefault="001B6CF7" w:rsidP="00B87C7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C0C0C0"/>
          </w:tcPr>
          <w:p w:rsidR="001B6CF7" w:rsidRDefault="001B6CF7" w:rsidP="006B734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</w:tr>
      <w:tr w:rsidR="002D24C8" w:rsidRPr="0089283A" w:rsidTr="002D24C8">
        <w:trPr>
          <w:trHeight w:val="375"/>
        </w:trPr>
        <w:tc>
          <w:tcPr>
            <w:tcW w:w="229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4C8" w:rsidRPr="0089283A" w:rsidRDefault="002D24C8" w:rsidP="00B87C7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t>Świadczenie Usługi wsparcia utrzymania Systemu Wspomagania Ekonomiki Zakładu (SWEZ) opartego na oprogramowaniu SAP</w:t>
            </w:r>
          </w:p>
        </w:tc>
        <w:tc>
          <w:tcPr>
            <w:tcW w:w="13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4C8" w:rsidRPr="0089283A" w:rsidRDefault="002D24C8" w:rsidP="001B6CF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Cena brutto za miesiąc świadczenia usługi</w:t>
            </w:r>
          </w:p>
        </w:tc>
        <w:tc>
          <w:tcPr>
            <w:tcW w:w="194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4C8" w:rsidRDefault="002D24C8" w:rsidP="00B87C7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D24C8" w:rsidRDefault="002D24C8" w:rsidP="00B87C7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D24C8" w:rsidRDefault="002D24C8" w:rsidP="00B87C7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D24C8" w:rsidRPr="0089283A" w:rsidRDefault="002D24C8" w:rsidP="00B87C7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……………..</w:t>
            </w:r>
          </w:p>
        </w:tc>
        <w:tc>
          <w:tcPr>
            <w:tcW w:w="212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4C8" w:rsidRPr="0089283A" w:rsidRDefault="002D24C8" w:rsidP="001B6CF7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198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24C8" w:rsidRDefault="002D24C8" w:rsidP="004D4D3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D24C8" w:rsidRDefault="002D24C8" w:rsidP="004D4D3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D24C8" w:rsidRDefault="002D24C8" w:rsidP="004D4D3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D24C8" w:rsidRPr="0089283A" w:rsidRDefault="002D24C8" w:rsidP="004D4D3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……………..</w:t>
            </w:r>
          </w:p>
        </w:tc>
      </w:tr>
      <w:tr w:rsidR="002D24C8" w:rsidRPr="0089283A" w:rsidTr="00543386">
        <w:trPr>
          <w:trHeight w:val="255"/>
        </w:trPr>
        <w:tc>
          <w:tcPr>
            <w:tcW w:w="2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4C8" w:rsidRPr="00543386" w:rsidRDefault="002D24C8" w:rsidP="00B87C7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t>Świadczenie Usługi obsługi Zgłoszeń Serwisowych Systemu Wspomagania Ekonomiki Zakładu (SWEZ) opartego na oprogramowaniu SAP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24C8" w:rsidRPr="0089283A" w:rsidRDefault="002D24C8" w:rsidP="00543386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Cena brutto za miesiąc świadczenia usługi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4C8" w:rsidRDefault="002D24C8" w:rsidP="004D4D3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D24C8" w:rsidRDefault="002D24C8" w:rsidP="004D4D3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D24C8" w:rsidRDefault="002D24C8" w:rsidP="004D4D3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D24C8" w:rsidRPr="0089283A" w:rsidRDefault="002D24C8" w:rsidP="004D4D3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……………..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4C8" w:rsidRDefault="002D24C8" w:rsidP="00B87C7A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  <w:p w:rsidR="002D24C8" w:rsidRDefault="002D24C8" w:rsidP="00B87C7A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D24C8" w:rsidRDefault="002D24C8" w:rsidP="00B87C7A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D24C8" w:rsidRPr="0089283A" w:rsidRDefault="002D24C8" w:rsidP="00543386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4C8" w:rsidRDefault="002D24C8" w:rsidP="004D4D3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D24C8" w:rsidRDefault="002D24C8" w:rsidP="004D4D3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D24C8" w:rsidRDefault="002D24C8" w:rsidP="004D4D3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D24C8" w:rsidRPr="0089283A" w:rsidRDefault="002D24C8" w:rsidP="004D4D3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……………..</w:t>
            </w:r>
          </w:p>
        </w:tc>
      </w:tr>
      <w:tr w:rsidR="002D24C8" w:rsidRPr="0089283A" w:rsidTr="002D24C8">
        <w:trPr>
          <w:trHeight w:val="1368"/>
        </w:trPr>
        <w:tc>
          <w:tcPr>
            <w:tcW w:w="2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4C8" w:rsidRPr="0089283A" w:rsidRDefault="002D24C8" w:rsidP="00B87C7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t>Świadczenie Usługi realizacji Zleceń dodatkowych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24C8" w:rsidRPr="0089283A" w:rsidRDefault="002D24C8" w:rsidP="001B6CF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Cena brutto za osobogodzinę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4C8" w:rsidRDefault="002D24C8" w:rsidP="004D4D3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D24C8" w:rsidRDefault="002D24C8" w:rsidP="004D4D3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D24C8" w:rsidRPr="0089283A" w:rsidRDefault="002D24C8" w:rsidP="004D4D3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……………..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4C8" w:rsidRPr="0089283A" w:rsidRDefault="002D24C8" w:rsidP="00B87C7A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24C8" w:rsidRDefault="002D24C8" w:rsidP="004D4D3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D24C8" w:rsidRDefault="002D24C8" w:rsidP="004D4D3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D24C8" w:rsidRPr="0089283A" w:rsidRDefault="002D24C8" w:rsidP="004D4D3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……………..</w:t>
            </w:r>
          </w:p>
        </w:tc>
      </w:tr>
      <w:tr w:rsidR="002D24C8" w:rsidRPr="0089283A" w:rsidTr="002D24C8">
        <w:trPr>
          <w:trHeight w:val="255"/>
        </w:trPr>
        <w:tc>
          <w:tcPr>
            <w:tcW w:w="2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4C8" w:rsidRPr="00543386" w:rsidRDefault="002D24C8" w:rsidP="00B87C7A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t>Udostępnienie administratorów systemów SAP (BASIS)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D24C8" w:rsidRPr="0089283A" w:rsidRDefault="002D24C8" w:rsidP="001B6CF7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Cena brutto za osobodzień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4C8" w:rsidRDefault="002D24C8" w:rsidP="004D4D3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D24C8" w:rsidRDefault="002D24C8" w:rsidP="004D4D3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D24C8" w:rsidRPr="0089283A" w:rsidRDefault="002D24C8" w:rsidP="004D4D3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……………..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4C8" w:rsidRPr="0089283A" w:rsidRDefault="002D24C8" w:rsidP="00B87C7A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1 320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4C8" w:rsidRDefault="002D24C8" w:rsidP="004D4D3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D24C8" w:rsidRDefault="002D24C8" w:rsidP="004D4D3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D24C8" w:rsidRPr="0089283A" w:rsidRDefault="002D24C8" w:rsidP="004D4D3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……………..</w:t>
            </w:r>
          </w:p>
        </w:tc>
      </w:tr>
      <w:tr w:rsidR="001E1FF1" w:rsidRPr="0089283A" w:rsidTr="002D24C8">
        <w:trPr>
          <w:trHeight w:val="1350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FF1" w:rsidRPr="001E1FF1" w:rsidRDefault="001E1FF1" w:rsidP="00B87C7A">
            <w:pPr>
              <w:rPr>
                <w:b/>
              </w:rPr>
            </w:pPr>
            <w:r w:rsidRPr="001E1FF1">
              <w:rPr>
                <w:b/>
              </w:rPr>
              <w:t>RAZEM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E1FF1" w:rsidRDefault="001E1FF1" w:rsidP="001B6CF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FF1" w:rsidRPr="0089283A" w:rsidRDefault="001E1FF1" w:rsidP="00B87C7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1FF1" w:rsidRDefault="001E1FF1" w:rsidP="00B87C7A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D24C8" w:rsidRDefault="002D24C8" w:rsidP="001E1FF1">
            <w:pP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   </w:t>
            </w:r>
          </w:p>
          <w:p w:rsidR="002D24C8" w:rsidRDefault="002D24C8" w:rsidP="001E1FF1">
            <w:pP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…………………….</w:t>
            </w:r>
          </w:p>
          <w:p w:rsidR="001E1FF1" w:rsidRPr="002D24C8" w:rsidRDefault="001E1FF1" w:rsidP="002D24C8">
            <w:pPr>
              <w:spacing w:after="0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 w:rsidRPr="002D24C8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(Suma kwot z wierszy powyżej) </w:t>
            </w:r>
          </w:p>
        </w:tc>
      </w:tr>
    </w:tbl>
    <w:p w:rsidR="002D24C8" w:rsidRPr="00A433E7" w:rsidRDefault="002D24C8" w:rsidP="002D24C8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sectPr w:rsidR="002D24C8" w:rsidRPr="00A43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3BF1"/>
    <w:multiLevelType w:val="hybridMultilevel"/>
    <w:tmpl w:val="9588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90801"/>
    <w:multiLevelType w:val="multilevel"/>
    <w:tmpl w:val="A1E2E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0E662B"/>
    <w:multiLevelType w:val="multilevel"/>
    <w:tmpl w:val="9E54890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3">
    <w:nsid w:val="135F5858"/>
    <w:multiLevelType w:val="multilevel"/>
    <w:tmpl w:val="F1DE80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374"/>
        </w:tabs>
        <w:ind w:left="137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3534"/>
        </w:tabs>
        <w:ind w:left="353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  <w:rPr>
        <w:rFonts w:cs="Times New Roman"/>
      </w:rPr>
    </w:lvl>
  </w:abstractNum>
  <w:abstractNum w:abstractNumId="4">
    <w:nsid w:val="19D77961"/>
    <w:multiLevelType w:val="multilevel"/>
    <w:tmpl w:val="8B2EC522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5">
    <w:nsid w:val="21015720"/>
    <w:multiLevelType w:val="multilevel"/>
    <w:tmpl w:val="5F804EC4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>
    <w:nsid w:val="21532F69"/>
    <w:multiLevelType w:val="hybridMultilevel"/>
    <w:tmpl w:val="39862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471A8"/>
    <w:multiLevelType w:val="hybridMultilevel"/>
    <w:tmpl w:val="1DF23F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704AFE"/>
    <w:multiLevelType w:val="multilevel"/>
    <w:tmpl w:val="774ACF9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bullet"/>
      <w:lvlText w:val="-"/>
      <w:lvlJc w:val="left"/>
      <w:pPr>
        <w:ind w:left="2160" w:hanging="720"/>
      </w:pPr>
      <w:rPr>
        <w:rFonts w:ascii="Arial Narrow" w:hAnsi="Arial Narrow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9">
    <w:nsid w:val="2A4E4019"/>
    <w:multiLevelType w:val="hybridMultilevel"/>
    <w:tmpl w:val="251C0BDA"/>
    <w:lvl w:ilvl="0" w:tplc="EBACC61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077723B"/>
    <w:multiLevelType w:val="hybridMultilevel"/>
    <w:tmpl w:val="DF52CB66"/>
    <w:lvl w:ilvl="0" w:tplc="EBACC61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9">
      <w:start w:val="1"/>
      <w:numFmt w:val="lowerLetter"/>
      <w:lvlText w:val="%3."/>
      <w:lvlJc w:val="lef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33D5BD6"/>
    <w:multiLevelType w:val="multilevel"/>
    <w:tmpl w:val="9A22AB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3AA51405"/>
    <w:multiLevelType w:val="hybridMultilevel"/>
    <w:tmpl w:val="51A23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FA2581"/>
    <w:multiLevelType w:val="hybridMultilevel"/>
    <w:tmpl w:val="AA2CCB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137599"/>
    <w:multiLevelType w:val="hybridMultilevel"/>
    <w:tmpl w:val="60446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BB79DC"/>
    <w:multiLevelType w:val="multilevel"/>
    <w:tmpl w:val="9250A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014"/>
        </w:tabs>
        <w:ind w:left="1014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734"/>
        </w:tabs>
        <w:ind w:left="1734" w:hanging="18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16">
    <w:nsid w:val="41C02A6F"/>
    <w:multiLevelType w:val="multilevel"/>
    <w:tmpl w:val="A7783C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17">
    <w:nsid w:val="45342FC1"/>
    <w:multiLevelType w:val="multilevel"/>
    <w:tmpl w:val="176CF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14"/>
        </w:tabs>
        <w:ind w:left="101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34"/>
        </w:tabs>
        <w:ind w:left="1734" w:hanging="18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18">
    <w:nsid w:val="4759673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90B7BBC"/>
    <w:multiLevelType w:val="multilevel"/>
    <w:tmpl w:val="443C431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20">
    <w:nsid w:val="4AA74047"/>
    <w:multiLevelType w:val="hybridMultilevel"/>
    <w:tmpl w:val="4F584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9863EA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755576"/>
    <w:multiLevelType w:val="multilevel"/>
    <w:tmpl w:val="C9EC1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14"/>
        </w:tabs>
        <w:ind w:left="1014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734"/>
        </w:tabs>
        <w:ind w:left="1734" w:hanging="18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22">
    <w:nsid w:val="4DF32800"/>
    <w:multiLevelType w:val="multilevel"/>
    <w:tmpl w:val="A7783C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14"/>
        </w:tabs>
        <w:ind w:left="101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23">
    <w:nsid w:val="52111ECF"/>
    <w:multiLevelType w:val="hybridMultilevel"/>
    <w:tmpl w:val="E98658FA"/>
    <w:lvl w:ilvl="0" w:tplc="E5E65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1535FF"/>
    <w:multiLevelType w:val="multilevel"/>
    <w:tmpl w:val="330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>
    <w:nsid w:val="536178EA"/>
    <w:multiLevelType w:val="hybridMultilevel"/>
    <w:tmpl w:val="3DA06FB0"/>
    <w:lvl w:ilvl="0" w:tplc="21C043B0">
      <w:start w:val="1"/>
      <w:numFmt w:val="decimal"/>
      <w:lvlText w:val="%1-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F0B5146"/>
    <w:multiLevelType w:val="hybridMultilevel"/>
    <w:tmpl w:val="3CE0B90A"/>
    <w:lvl w:ilvl="0" w:tplc="B6E057EA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712F7259"/>
    <w:multiLevelType w:val="hybridMultilevel"/>
    <w:tmpl w:val="D8827F3E"/>
    <w:lvl w:ilvl="0" w:tplc="D01C6B54">
      <w:start w:val="1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730012B3"/>
    <w:multiLevelType w:val="multilevel"/>
    <w:tmpl w:val="1D6C2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0C0746"/>
    <w:multiLevelType w:val="multilevel"/>
    <w:tmpl w:val="E1229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>
    <w:nsid w:val="7929765B"/>
    <w:multiLevelType w:val="multilevel"/>
    <w:tmpl w:val="C0864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1B08EE"/>
    <w:multiLevelType w:val="multilevel"/>
    <w:tmpl w:val="9250A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014"/>
        </w:tabs>
        <w:ind w:left="1014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734"/>
        </w:tabs>
        <w:ind w:left="1734" w:hanging="18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32">
    <w:nsid w:val="7D9C0CAA"/>
    <w:multiLevelType w:val="multilevel"/>
    <w:tmpl w:val="2F18FA3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14"/>
        </w:tabs>
        <w:ind w:left="1014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734"/>
        </w:tabs>
        <w:ind w:left="1734" w:hanging="18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num w:numId="1">
    <w:abstractNumId w:val="1"/>
  </w:num>
  <w:num w:numId="2">
    <w:abstractNumId w:val="30"/>
  </w:num>
  <w:num w:numId="3">
    <w:abstractNumId w:val="28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31"/>
  </w:num>
  <w:num w:numId="9">
    <w:abstractNumId w:val="24"/>
  </w:num>
  <w:num w:numId="10">
    <w:abstractNumId w:val="29"/>
  </w:num>
  <w:num w:numId="11">
    <w:abstractNumId w:val="22"/>
  </w:num>
  <w:num w:numId="12">
    <w:abstractNumId w:val="17"/>
  </w:num>
  <w:num w:numId="13">
    <w:abstractNumId w:val="15"/>
  </w:num>
  <w:num w:numId="14">
    <w:abstractNumId w:val="21"/>
  </w:num>
  <w:num w:numId="15">
    <w:abstractNumId w:val="8"/>
  </w:num>
  <w:num w:numId="16">
    <w:abstractNumId w:val="32"/>
  </w:num>
  <w:num w:numId="17">
    <w:abstractNumId w:val="0"/>
  </w:num>
  <w:num w:numId="18">
    <w:abstractNumId w:val="14"/>
  </w:num>
  <w:num w:numId="19">
    <w:abstractNumId w:val="13"/>
  </w:num>
  <w:num w:numId="20">
    <w:abstractNumId w:val="25"/>
  </w:num>
  <w:num w:numId="21">
    <w:abstractNumId w:val="9"/>
  </w:num>
  <w:num w:numId="22">
    <w:abstractNumId w:val="1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2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4"/>
  </w:num>
  <w:num w:numId="31">
    <w:abstractNumId w:val="11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D13"/>
    <w:rsid w:val="00036D78"/>
    <w:rsid w:val="00061561"/>
    <w:rsid w:val="000C017E"/>
    <w:rsid w:val="000C231D"/>
    <w:rsid w:val="00135F6B"/>
    <w:rsid w:val="001671AF"/>
    <w:rsid w:val="001728F3"/>
    <w:rsid w:val="001900B2"/>
    <w:rsid w:val="001A244B"/>
    <w:rsid w:val="001B6CF7"/>
    <w:rsid w:val="001C169B"/>
    <w:rsid w:val="001C2009"/>
    <w:rsid w:val="001E1FF1"/>
    <w:rsid w:val="002116D5"/>
    <w:rsid w:val="00233D40"/>
    <w:rsid w:val="00264A87"/>
    <w:rsid w:val="00272CB1"/>
    <w:rsid w:val="00292F98"/>
    <w:rsid w:val="002B15F8"/>
    <w:rsid w:val="002D24C8"/>
    <w:rsid w:val="00376D7F"/>
    <w:rsid w:val="0038556A"/>
    <w:rsid w:val="003A594B"/>
    <w:rsid w:val="003E07CA"/>
    <w:rsid w:val="003E5D76"/>
    <w:rsid w:val="003F0B46"/>
    <w:rsid w:val="003F6CD1"/>
    <w:rsid w:val="0041396C"/>
    <w:rsid w:val="00425E98"/>
    <w:rsid w:val="0043411E"/>
    <w:rsid w:val="004752D9"/>
    <w:rsid w:val="004819C0"/>
    <w:rsid w:val="004C5D95"/>
    <w:rsid w:val="00521098"/>
    <w:rsid w:val="00543386"/>
    <w:rsid w:val="0057636E"/>
    <w:rsid w:val="005B3572"/>
    <w:rsid w:val="005E4EDB"/>
    <w:rsid w:val="006047D1"/>
    <w:rsid w:val="00606588"/>
    <w:rsid w:val="00623D13"/>
    <w:rsid w:val="00646B74"/>
    <w:rsid w:val="006531F5"/>
    <w:rsid w:val="006865FA"/>
    <w:rsid w:val="006B734A"/>
    <w:rsid w:val="006C19B8"/>
    <w:rsid w:val="006F020A"/>
    <w:rsid w:val="0070591F"/>
    <w:rsid w:val="007161B7"/>
    <w:rsid w:val="00722541"/>
    <w:rsid w:val="00752039"/>
    <w:rsid w:val="00772FB3"/>
    <w:rsid w:val="0079291D"/>
    <w:rsid w:val="007F2516"/>
    <w:rsid w:val="00810A99"/>
    <w:rsid w:val="00815614"/>
    <w:rsid w:val="00851C2A"/>
    <w:rsid w:val="0089283A"/>
    <w:rsid w:val="008F010B"/>
    <w:rsid w:val="00926E06"/>
    <w:rsid w:val="009505B9"/>
    <w:rsid w:val="00955F1D"/>
    <w:rsid w:val="00A348FD"/>
    <w:rsid w:val="00A433E7"/>
    <w:rsid w:val="00A73A8D"/>
    <w:rsid w:val="00AF6C9F"/>
    <w:rsid w:val="00B03E83"/>
    <w:rsid w:val="00B040A3"/>
    <w:rsid w:val="00B3229C"/>
    <w:rsid w:val="00BB0468"/>
    <w:rsid w:val="00BB29B1"/>
    <w:rsid w:val="00BE469C"/>
    <w:rsid w:val="00C059B4"/>
    <w:rsid w:val="00C253C4"/>
    <w:rsid w:val="00C54826"/>
    <w:rsid w:val="00C82B86"/>
    <w:rsid w:val="00DA043E"/>
    <w:rsid w:val="00E30CC7"/>
    <w:rsid w:val="00E91EB6"/>
    <w:rsid w:val="00EA177B"/>
    <w:rsid w:val="00F01C2D"/>
    <w:rsid w:val="00F27DFA"/>
    <w:rsid w:val="00F427CC"/>
    <w:rsid w:val="00F621C7"/>
    <w:rsid w:val="00FA3A45"/>
    <w:rsid w:val="00FC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23D1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23D13"/>
    <w:pPr>
      <w:spacing w:before="100" w:beforeAutospacing="1" w:after="100" w:afterAutospacing="1" w:line="336" w:lineRule="auto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paragraph" w:styleId="Akapitzlist">
    <w:name w:val="List Paragraph"/>
    <w:aliases w:val="Normalny PDST,lp1,Preambuła,HŁ_Bullet1,Podsis rysunku,WYPUNKTOWANIE Akapit z listą,Numerowanie,List Paragraph,Akapit z listą4"/>
    <w:basedOn w:val="Normalny"/>
    <w:link w:val="AkapitzlistZnak"/>
    <w:uiPriority w:val="34"/>
    <w:qFormat/>
    <w:rsid w:val="00623D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556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EA17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177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177B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1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77B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Normalny PDST Znak,lp1 Znak,Preambuła Znak,HŁ_Bullet1 Znak,Podsis rysunku Znak,WYPUNKTOWANIE Akapit z listą Znak,Numerowanie Znak,List Paragraph Znak,Akapit z listą4 Znak"/>
    <w:link w:val="Akapitzlist"/>
    <w:uiPriority w:val="34"/>
    <w:qFormat/>
    <w:rsid w:val="00F01C2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1C2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1C2D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6531F5"/>
    <w:pPr>
      <w:spacing w:after="0" w:line="240" w:lineRule="auto"/>
      <w:ind w:left="1418" w:hanging="1418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531F5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6531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23D1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23D13"/>
    <w:pPr>
      <w:spacing w:before="100" w:beforeAutospacing="1" w:after="100" w:afterAutospacing="1" w:line="336" w:lineRule="auto"/>
    </w:pPr>
    <w:rPr>
      <w:rFonts w:ascii="Verdana" w:eastAsia="Times New Roman" w:hAnsi="Verdana" w:cs="Times New Roman"/>
      <w:color w:val="000000"/>
      <w:sz w:val="18"/>
      <w:szCs w:val="18"/>
      <w:lang w:eastAsia="pl-PL"/>
    </w:rPr>
  </w:style>
  <w:style w:type="paragraph" w:styleId="Akapitzlist">
    <w:name w:val="List Paragraph"/>
    <w:aliases w:val="Normalny PDST,lp1,Preambuła,HŁ_Bullet1,Podsis rysunku,WYPUNKTOWANIE Akapit z listą,Numerowanie,List Paragraph,Akapit z listą4"/>
    <w:basedOn w:val="Normalny"/>
    <w:link w:val="AkapitzlistZnak"/>
    <w:uiPriority w:val="34"/>
    <w:qFormat/>
    <w:rsid w:val="00623D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556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EA17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177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177B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1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77B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Normalny PDST Znak,lp1 Znak,Preambuła Znak,HŁ_Bullet1 Znak,Podsis rysunku Znak,WYPUNKTOWANIE Akapit z listą Znak,Numerowanie Znak,List Paragraph Znak,Akapit z listą4 Znak"/>
    <w:link w:val="Akapitzlist"/>
    <w:uiPriority w:val="34"/>
    <w:qFormat/>
    <w:rsid w:val="00F01C2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1C2D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1C2D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6531F5"/>
    <w:pPr>
      <w:spacing w:after="0" w:line="240" w:lineRule="auto"/>
      <w:ind w:left="1418" w:hanging="1418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531F5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6531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77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74970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7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rta.sadlo01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cek.matyja@zu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2049</Words>
  <Characters>12297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Matyja, Jacek</dc:creator>
  <cp:lastModifiedBy>SADŁO, MARTA</cp:lastModifiedBy>
  <cp:revision>2</cp:revision>
  <dcterms:created xsi:type="dcterms:W3CDTF">2018-07-16T09:24:00Z</dcterms:created>
  <dcterms:modified xsi:type="dcterms:W3CDTF">2018-07-16T09:24:00Z</dcterms:modified>
</cp:coreProperties>
</file>