
<file path=[Content_Types].xml><?xml version="1.0" encoding="utf-8"?>
<Types xmlns="http://schemas.openxmlformats.org/package/2006/content-types">
  <Default Extension="png" ContentType="image/png"/>
  <Default Extension="xlsm" ContentType="application/vnd.ms-excel.sheet.macroEnabled.12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charts/chart11.xml" ContentType="application/vnd.openxmlformats-officedocument.drawingml.chart+xml"/>
  <Override PartName="/word/drawings/drawing3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F3" w:rsidRPr="00885230" w:rsidRDefault="00FC7AF3" w:rsidP="00885230">
      <w:pPr>
        <w:spacing w:after="120" w:line="240" w:lineRule="auto"/>
        <w:jc w:val="center"/>
        <w:rPr>
          <w:b/>
          <w:color w:val="1F497D" w:themeColor="text2"/>
          <w:sz w:val="44"/>
        </w:rPr>
      </w:pPr>
      <w:r w:rsidRPr="00885230">
        <w:rPr>
          <w:b/>
          <w:color w:val="1F497D" w:themeColor="text2"/>
          <w:sz w:val="44"/>
        </w:rPr>
        <w:t xml:space="preserve">Informacja o sytuacji finansowej FUS </w:t>
      </w:r>
    </w:p>
    <w:p w:rsidR="003420B0" w:rsidRPr="00885230" w:rsidRDefault="00FC7AF3" w:rsidP="00885230">
      <w:pPr>
        <w:spacing w:before="120" w:after="120" w:line="240" w:lineRule="auto"/>
        <w:jc w:val="center"/>
        <w:rPr>
          <w:b/>
        </w:rPr>
      </w:pPr>
      <w:r w:rsidRPr="00885230">
        <w:rPr>
          <w:b/>
          <w:color w:val="1F497D" w:themeColor="text2"/>
          <w:sz w:val="44"/>
        </w:rPr>
        <w:t xml:space="preserve">w </w:t>
      </w:r>
      <w:r w:rsidR="007B270A">
        <w:rPr>
          <w:b/>
          <w:color w:val="1F497D" w:themeColor="text2"/>
          <w:sz w:val="44"/>
        </w:rPr>
        <w:t>I</w:t>
      </w:r>
      <w:r w:rsidR="0033245A">
        <w:rPr>
          <w:b/>
          <w:color w:val="1F497D" w:themeColor="text2"/>
          <w:sz w:val="44"/>
        </w:rPr>
        <w:t xml:space="preserve"> </w:t>
      </w:r>
      <w:r w:rsidR="00C40EA4">
        <w:rPr>
          <w:b/>
          <w:color w:val="1F497D" w:themeColor="text2"/>
          <w:sz w:val="44"/>
        </w:rPr>
        <w:t>półroczu</w:t>
      </w:r>
      <w:r w:rsidR="00C40EA4" w:rsidRPr="00885230">
        <w:rPr>
          <w:b/>
          <w:color w:val="1F497D" w:themeColor="text2"/>
          <w:sz w:val="44"/>
        </w:rPr>
        <w:t xml:space="preserve"> </w:t>
      </w:r>
      <w:r w:rsidRPr="00885230">
        <w:rPr>
          <w:b/>
          <w:color w:val="1F497D" w:themeColor="text2"/>
          <w:sz w:val="44"/>
        </w:rPr>
        <w:t>20</w:t>
      </w:r>
      <w:r w:rsidR="007B270A">
        <w:rPr>
          <w:b/>
          <w:color w:val="1F497D" w:themeColor="text2"/>
          <w:sz w:val="44"/>
        </w:rPr>
        <w:t>20</w:t>
      </w:r>
      <w:r w:rsidRPr="00885230">
        <w:rPr>
          <w:b/>
          <w:color w:val="1F497D" w:themeColor="text2"/>
          <w:sz w:val="44"/>
        </w:rPr>
        <w:t xml:space="preserve"> r.</w:t>
      </w:r>
    </w:p>
    <w:p w:rsidR="008E56E2" w:rsidRPr="008E56E2" w:rsidRDefault="008E56E2" w:rsidP="003420B0">
      <w:pPr>
        <w:spacing w:after="0"/>
        <w:jc w:val="both"/>
        <w:rPr>
          <w:b/>
        </w:rPr>
      </w:pPr>
    </w:p>
    <w:p w:rsidR="007233C1" w:rsidRDefault="007233C1" w:rsidP="007233C1">
      <w:pPr>
        <w:pStyle w:val="Tekstpodstawowy3"/>
        <w:widowControl w:val="0"/>
        <w:spacing w:before="120" w:after="0" w:line="276" w:lineRule="auto"/>
        <w:jc w:val="both"/>
        <w:rPr>
          <w:rFonts w:asciiTheme="minorHAnsi" w:eastAsia="Japanese Gothic" w:hAnsiTheme="minorHAnsi"/>
          <w:kern w:val="0"/>
          <w:sz w:val="24"/>
          <w:szCs w:val="24"/>
        </w:rPr>
      </w:pPr>
      <w:r w:rsidRPr="00F72352">
        <w:rPr>
          <w:rFonts w:asciiTheme="minorHAnsi" w:eastAsia="Japanese Gothic" w:hAnsiTheme="minorHAnsi"/>
          <w:kern w:val="0"/>
          <w:sz w:val="24"/>
          <w:szCs w:val="24"/>
        </w:rPr>
        <w:t>Ogłoszony w marcu stan epidemii COVID-19 w bezprecedensowy sposób zaburzył funkcjonowanie gospodarek na całym świecie. Ograniczeni</w:t>
      </w:r>
      <w:r>
        <w:rPr>
          <w:rFonts w:asciiTheme="minorHAnsi" w:eastAsia="Japanese Gothic" w:hAnsiTheme="minorHAnsi"/>
          <w:kern w:val="0"/>
          <w:sz w:val="24"/>
          <w:szCs w:val="24"/>
        </w:rPr>
        <w:t>e aktywności gospodar</w:t>
      </w:r>
      <w:r w:rsidRPr="00F72352">
        <w:rPr>
          <w:rFonts w:asciiTheme="minorHAnsi" w:eastAsia="Japanese Gothic" w:hAnsiTheme="minorHAnsi"/>
          <w:kern w:val="0"/>
          <w:sz w:val="24"/>
          <w:szCs w:val="24"/>
        </w:rPr>
        <w:t xml:space="preserve">stw domowych oraz restrykcje nakierowane na zmniejszenie zakażeń poskutkowały światową recesją. </w:t>
      </w:r>
      <w:r>
        <w:rPr>
          <w:rFonts w:asciiTheme="minorHAnsi" w:eastAsia="Japanese Gothic" w:hAnsiTheme="minorHAnsi"/>
          <w:kern w:val="0"/>
          <w:sz w:val="24"/>
          <w:szCs w:val="24"/>
        </w:rPr>
        <w:t xml:space="preserve">W efekcie wszystkie gospodarki doświadczyły w pierwszym półroczu br. mniej lub bardziej </w:t>
      </w:r>
      <w:r w:rsidR="00FB3DED">
        <w:rPr>
          <w:rFonts w:asciiTheme="minorHAnsi" w:eastAsia="Japanese Gothic" w:hAnsiTheme="minorHAnsi"/>
          <w:kern w:val="0"/>
          <w:sz w:val="24"/>
          <w:szCs w:val="24"/>
        </w:rPr>
        <w:t xml:space="preserve">głębokiego </w:t>
      </w:r>
      <w:r>
        <w:rPr>
          <w:rFonts w:asciiTheme="minorHAnsi" w:eastAsia="Japanese Gothic" w:hAnsiTheme="minorHAnsi"/>
          <w:kern w:val="0"/>
          <w:sz w:val="24"/>
          <w:szCs w:val="24"/>
        </w:rPr>
        <w:t>spadku PKB</w:t>
      </w:r>
      <w:r w:rsidRPr="008B7E9F">
        <w:rPr>
          <w:rFonts w:asciiTheme="minorHAnsi" w:eastAsia="Japanese Gothic" w:hAnsiTheme="minorHAnsi"/>
          <w:kern w:val="0"/>
          <w:sz w:val="24"/>
          <w:szCs w:val="24"/>
        </w:rPr>
        <w:t>. Szybki szacunek GUS wskazuje, że PKB Polski w drugim kwartale br. zmniejszył się realnie o 8,2% roku do roku</w:t>
      </w:r>
      <w:r>
        <w:rPr>
          <w:rFonts w:asciiTheme="minorHAnsi" w:eastAsia="Japanese Gothic" w:hAnsiTheme="minorHAnsi"/>
          <w:kern w:val="0"/>
          <w:sz w:val="24"/>
          <w:szCs w:val="24"/>
        </w:rPr>
        <w:t xml:space="preserve">. W stosunku do pierwszego kwartału br. PKB spadł realnie o 8,9% – to największy </w:t>
      </w:r>
      <w:r w:rsidRPr="003479F6">
        <w:rPr>
          <w:rFonts w:asciiTheme="minorHAnsi" w:eastAsia="Japanese Gothic" w:hAnsiTheme="minorHAnsi"/>
          <w:kern w:val="0"/>
          <w:sz w:val="24"/>
          <w:szCs w:val="24"/>
        </w:rPr>
        <w:t>spadek co najmniej od 25 lat (od kiedy dostępne są porównywalne statystyki).</w:t>
      </w:r>
      <w:r w:rsidRPr="001C7786">
        <w:rPr>
          <w:rFonts w:eastAsia="Japanese Gothic"/>
          <w:sz w:val="24"/>
          <w:szCs w:val="24"/>
        </w:rPr>
        <w:t xml:space="preserve"> </w:t>
      </w:r>
    </w:p>
    <w:p w:rsidR="00E22E34" w:rsidRDefault="00E22E34" w:rsidP="00E22E34">
      <w:pPr>
        <w:pStyle w:val="Tekstpodstawowy3"/>
        <w:widowControl w:val="0"/>
        <w:spacing w:before="240" w:after="0" w:line="276" w:lineRule="auto"/>
        <w:jc w:val="both"/>
        <w:rPr>
          <w:rFonts w:asciiTheme="minorHAnsi" w:eastAsia="Japanese Gothic" w:hAnsiTheme="minorHAnsi"/>
          <w:kern w:val="0"/>
          <w:sz w:val="24"/>
          <w:szCs w:val="24"/>
        </w:rPr>
      </w:pPr>
      <w:r>
        <w:rPr>
          <w:rFonts w:asciiTheme="minorHAnsi" w:eastAsia="Japanese Gothic" w:hAnsiTheme="minorHAnsi"/>
          <w:kern w:val="0"/>
          <w:sz w:val="24"/>
          <w:szCs w:val="24"/>
        </w:rPr>
        <w:t>Wpływ epidemii COVID-19 na s</w:t>
      </w:r>
      <w:r w:rsidRPr="004867C8">
        <w:rPr>
          <w:rFonts w:asciiTheme="minorHAnsi" w:eastAsia="Japanese Gothic" w:hAnsiTheme="minorHAnsi"/>
          <w:kern w:val="0"/>
          <w:sz w:val="24"/>
          <w:szCs w:val="24"/>
        </w:rPr>
        <w:t>ytuacj</w:t>
      </w:r>
      <w:r>
        <w:rPr>
          <w:rFonts w:asciiTheme="minorHAnsi" w:eastAsia="Japanese Gothic" w:hAnsiTheme="minorHAnsi"/>
          <w:kern w:val="0"/>
          <w:sz w:val="24"/>
          <w:szCs w:val="24"/>
        </w:rPr>
        <w:t>ę</w:t>
      </w:r>
      <w:r w:rsidRPr="004867C8">
        <w:rPr>
          <w:rFonts w:asciiTheme="minorHAnsi" w:eastAsia="Japanese Gothic" w:hAnsiTheme="minorHAnsi"/>
          <w:kern w:val="0"/>
          <w:sz w:val="24"/>
          <w:szCs w:val="24"/>
        </w:rPr>
        <w:t xml:space="preserve"> gospodarcz</w:t>
      </w:r>
      <w:r>
        <w:rPr>
          <w:rFonts w:asciiTheme="minorHAnsi" w:eastAsia="Japanese Gothic" w:hAnsiTheme="minorHAnsi"/>
          <w:kern w:val="0"/>
          <w:sz w:val="24"/>
          <w:szCs w:val="24"/>
        </w:rPr>
        <w:t>ą</w:t>
      </w:r>
      <w:r w:rsidRPr="004867C8">
        <w:rPr>
          <w:rFonts w:asciiTheme="minorHAnsi" w:eastAsia="Japanese Gothic" w:hAnsiTheme="minorHAnsi"/>
          <w:kern w:val="0"/>
          <w:sz w:val="24"/>
          <w:szCs w:val="24"/>
        </w:rPr>
        <w:t xml:space="preserve"> znalazł</w:t>
      </w:r>
      <w:r w:rsidR="00E9171E">
        <w:rPr>
          <w:rFonts w:asciiTheme="minorHAnsi" w:eastAsia="Japanese Gothic" w:hAnsiTheme="minorHAnsi"/>
          <w:kern w:val="0"/>
          <w:sz w:val="24"/>
          <w:szCs w:val="24"/>
        </w:rPr>
        <w:t xml:space="preserve"> również odzwierciedlenie w </w:t>
      </w:r>
      <w:r w:rsidRPr="004867C8">
        <w:rPr>
          <w:rFonts w:asciiTheme="minorHAnsi" w:eastAsia="Japanese Gothic" w:hAnsiTheme="minorHAnsi"/>
          <w:kern w:val="0"/>
          <w:sz w:val="24"/>
          <w:szCs w:val="24"/>
        </w:rPr>
        <w:t>parametrach związanych z rynkiem pracy.</w:t>
      </w:r>
      <w:r w:rsidRPr="00360551">
        <w:rPr>
          <w:rFonts w:asciiTheme="minorHAnsi" w:eastAsia="Japanese Gothic" w:hAnsiTheme="minorHAnsi"/>
          <w:kern w:val="0"/>
          <w:sz w:val="24"/>
          <w:szCs w:val="24"/>
        </w:rPr>
        <w:t xml:space="preserve"> </w:t>
      </w:r>
      <w:r>
        <w:rPr>
          <w:rFonts w:asciiTheme="minorHAnsi" w:eastAsia="Japanese Gothic" w:hAnsiTheme="minorHAnsi"/>
          <w:kern w:val="0"/>
          <w:sz w:val="24"/>
          <w:szCs w:val="24"/>
        </w:rPr>
        <w:t>P</w:t>
      </w:r>
      <w:r w:rsidRPr="00F6357B">
        <w:rPr>
          <w:rFonts w:asciiTheme="minorHAnsi" w:eastAsia="Japanese Gothic" w:hAnsiTheme="minorHAnsi"/>
          <w:kern w:val="0"/>
          <w:sz w:val="24"/>
          <w:szCs w:val="24"/>
        </w:rPr>
        <w:t>rzeciętne zatrudni</w:t>
      </w:r>
      <w:r>
        <w:rPr>
          <w:rFonts w:asciiTheme="minorHAnsi" w:eastAsia="Japanese Gothic" w:hAnsiTheme="minorHAnsi"/>
          <w:kern w:val="0"/>
          <w:sz w:val="24"/>
          <w:szCs w:val="24"/>
        </w:rPr>
        <w:t>enie w sektorze przedsiębiorstw w pierwszym półroczu br.</w:t>
      </w:r>
      <w:r w:rsidRPr="00F6357B">
        <w:rPr>
          <w:rFonts w:asciiTheme="minorHAnsi" w:eastAsia="Japanese Gothic" w:hAnsiTheme="minorHAnsi"/>
          <w:kern w:val="0"/>
          <w:sz w:val="24"/>
          <w:szCs w:val="24"/>
        </w:rPr>
        <w:t xml:space="preserve"> </w:t>
      </w:r>
      <w:r>
        <w:rPr>
          <w:rFonts w:asciiTheme="minorHAnsi" w:eastAsia="Japanese Gothic" w:hAnsiTheme="minorHAnsi"/>
          <w:kern w:val="0"/>
          <w:sz w:val="24"/>
          <w:szCs w:val="24"/>
        </w:rPr>
        <w:t>spadło</w:t>
      </w:r>
      <w:r w:rsidRPr="00F6357B">
        <w:rPr>
          <w:rFonts w:asciiTheme="minorHAnsi" w:eastAsia="Japanese Gothic" w:hAnsiTheme="minorHAnsi"/>
          <w:kern w:val="0"/>
          <w:sz w:val="24"/>
          <w:szCs w:val="24"/>
        </w:rPr>
        <w:t xml:space="preserve"> o </w:t>
      </w:r>
      <w:r>
        <w:rPr>
          <w:rFonts w:asciiTheme="minorHAnsi" w:eastAsia="Japanese Gothic" w:hAnsiTheme="minorHAnsi"/>
          <w:kern w:val="0"/>
          <w:sz w:val="24"/>
          <w:szCs w:val="24"/>
        </w:rPr>
        <w:t>0,6</w:t>
      </w:r>
      <w:r w:rsidRPr="00F6357B">
        <w:rPr>
          <w:rFonts w:asciiTheme="minorHAnsi" w:eastAsia="Japanese Gothic" w:hAnsiTheme="minorHAnsi"/>
          <w:kern w:val="0"/>
          <w:sz w:val="24"/>
          <w:szCs w:val="24"/>
        </w:rPr>
        <w:t xml:space="preserve">% </w:t>
      </w:r>
      <w:r>
        <w:rPr>
          <w:rFonts w:asciiTheme="minorHAnsi" w:eastAsia="Japanese Gothic" w:hAnsiTheme="minorHAnsi"/>
          <w:kern w:val="0"/>
          <w:sz w:val="24"/>
          <w:szCs w:val="24"/>
        </w:rPr>
        <w:t>r/r, p</w:t>
      </w:r>
      <w:r w:rsidRPr="00F6357B">
        <w:rPr>
          <w:rFonts w:asciiTheme="minorHAnsi" w:eastAsia="Japanese Gothic" w:hAnsiTheme="minorHAnsi"/>
          <w:kern w:val="0"/>
          <w:sz w:val="24"/>
          <w:szCs w:val="24"/>
        </w:rPr>
        <w:t xml:space="preserve">rzeciętne miesięczne wynagrodzenie </w:t>
      </w:r>
      <w:r>
        <w:rPr>
          <w:rFonts w:asciiTheme="minorHAnsi" w:eastAsia="Japanese Gothic" w:hAnsiTheme="minorHAnsi"/>
          <w:kern w:val="0"/>
          <w:sz w:val="24"/>
          <w:szCs w:val="24"/>
        </w:rPr>
        <w:t>wzrosło o 4,5</w:t>
      </w:r>
      <w:r w:rsidRPr="00F6357B">
        <w:rPr>
          <w:rFonts w:asciiTheme="minorHAnsi" w:eastAsia="Japanese Gothic" w:hAnsiTheme="minorHAnsi"/>
          <w:kern w:val="0"/>
          <w:sz w:val="24"/>
          <w:szCs w:val="24"/>
        </w:rPr>
        <w:t>%</w:t>
      </w:r>
      <w:r>
        <w:rPr>
          <w:rFonts w:asciiTheme="minorHAnsi" w:eastAsia="Japanese Gothic" w:hAnsiTheme="minorHAnsi"/>
          <w:kern w:val="0"/>
          <w:sz w:val="24"/>
          <w:szCs w:val="24"/>
        </w:rPr>
        <w:t xml:space="preserve"> (dla porównania w analogiczn</w:t>
      </w:r>
      <w:r w:rsidR="00E9171E">
        <w:rPr>
          <w:rFonts w:asciiTheme="minorHAnsi" w:eastAsia="Japanese Gothic" w:hAnsiTheme="minorHAnsi"/>
          <w:kern w:val="0"/>
          <w:sz w:val="24"/>
          <w:szCs w:val="24"/>
        </w:rPr>
        <w:t>ym okresie 2019 r. parametry te </w:t>
      </w:r>
      <w:r>
        <w:rPr>
          <w:rFonts w:asciiTheme="minorHAnsi" w:eastAsia="Japanese Gothic" w:hAnsiTheme="minorHAnsi"/>
          <w:kern w:val="0"/>
          <w:sz w:val="24"/>
          <w:szCs w:val="24"/>
        </w:rPr>
        <w:t xml:space="preserve">kształtowały się na poziomie odpowiednio: zatrudnienie – wzrost o 2,9%, wynagrodzenie – wzrost o 6,8%). </w:t>
      </w:r>
      <w:r w:rsidRPr="00FD70EE">
        <w:rPr>
          <w:rFonts w:asciiTheme="minorHAnsi" w:eastAsia="Japanese Gothic" w:hAnsiTheme="minorHAnsi"/>
          <w:kern w:val="0"/>
          <w:sz w:val="24"/>
          <w:szCs w:val="24"/>
        </w:rPr>
        <w:t>Liczba zarejestrowanych bezrobotnych oraz stopa bezrobocia w końcu czerwca br. były wyższe od zanotowanych przed rokiem. Stopa bezrobocia rejestrowanego wyniosła 6,1% i wzrosła o</w:t>
      </w:r>
      <w:r>
        <w:rPr>
          <w:rFonts w:asciiTheme="minorHAnsi" w:eastAsia="Japanese Gothic" w:hAnsiTheme="minorHAnsi"/>
          <w:kern w:val="0"/>
          <w:sz w:val="24"/>
          <w:szCs w:val="24"/>
        </w:rPr>
        <w:t> </w:t>
      </w:r>
      <w:r w:rsidRPr="00FD70EE">
        <w:rPr>
          <w:rFonts w:asciiTheme="minorHAnsi" w:eastAsia="Japanese Gothic" w:hAnsiTheme="minorHAnsi"/>
          <w:kern w:val="0"/>
          <w:sz w:val="24"/>
          <w:szCs w:val="24"/>
        </w:rPr>
        <w:t xml:space="preserve">0,8 p.p. w skali roku. </w:t>
      </w:r>
      <w:r>
        <w:rPr>
          <w:rFonts w:asciiTheme="minorHAnsi" w:eastAsia="Japanese Gothic" w:hAnsiTheme="minorHAnsi"/>
          <w:kern w:val="0"/>
          <w:sz w:val="24"/>
          <w:szCs w:val="24"/>
        </w:rPr>
        <w:t xml:space="preserve">Skala wzrostu bezrobocia została częściowo zatrzymana przez rozwiązania zawarte w Tarczy Antykryzysowej, które dawały zachęty do utrzymania zatrudnienia w postaci dofinansowania wynagrodzeń, </w:t>
      </w:r>
      <w:r w:rsidR="00E9171E">
        <w:rPr>
          <w:rFonts w:asciiTheme="minorHAnsi" w:eastAsia="Japanese Gothic" w:hAnsiTheme="minorHAnsi"/>
          <w:kern w:val="0"/>
          <w:sz w:val="24"/>
          <w:szCs w:val="24"/>
        </w:rPr>
        <w:t>zwolnień z opłacania składek na </w:t>
      </w:r>
      <w:r>
        <w:rPr>
          <w:rFonts w:asciiTheme="minorHAnsi" w:eastAsia="Japanese Gothic" w:hAnsiTheme="minorHAnsi"/>
          <w:kern w:val="0"/>
          <w:sz w:val="24"/>
          <w:szCs w:val="24"/>
        </w:rPr>
        <w:t>ubezpieczenia społeczne czy możliwości obniżenia wynagrodzeń.</w:t>
      </w:r>
    </w:p>
    <w:p w:rsidR="00E9171E" w:rsidRDefault="007233C1" w:rsidP="009D7FE1">
      <w:pPr>
        <w:keepNext/>
        <w:spacing w:before="120" w:after="120"/>
        <w:jc w:val="both"/>
        <w:rPr>
          <w:rFonts w:eastAsia="Japanese Gothic" w:cs="Times New Roman"/>
          <w:color w:val="000000"/>
          <w:sz w:val="24"/>
          <w:szCs w:val="24"/>
          <w:lang w:eastAsia="pl-PL"/>
        </w:rPr>
      </w:pPr>
      <w:r w:rsidRPr="002B2D33">
        <w:rPr>
          <w:rFonts w:eastAsia="Japanese Gothic" w:cs="Times New Roman"/>
          <w:color w:val="000000"/>
          <w:sz w:val="24"/>
          <w:szCs w:val="24"/>
          <w:lang w:eastAsia="pl-PL"/>
        </w:rPr>
        <w:t>Konsekwencje pandemii negatywnie wpłynęły na obraz sytuacji finansowej FUS. W okresie styczeń–czerwiec br. wydatki funduszu wyniosły 130,0 mld zł, podczas gdy wpływy ze skła</w:t>
      </w:r>
      <w:r>
        <w:rPr>
          <w:rFonts w:eastAsia="Japanese Gothic" w:cs="Times New Roman"/>
          <w:color w:val="000000"/>
          <w:sz w:val="24"/>
          <w:szCs w:val="24"/>
          <w:lang w:eastAsia="pl-PL"/>
        </w:rPr>
        <w:t>dek i </w:t>
      </w:r>
      <w:r w:rsidRPr="002B2D33">
        <w:rPr>
          <w:rFonts w:eastAsia="Japanese Gothic" w:cs="Times New Roman"/>
          <w:color w:val="000000"/>
          <w:sz w:val="24"/>
          <w:szCs w:val="24"/>
          <w:lang w:eastAsia="pl-PL"/>
        </w:rPr>
        <w:t>ich pochodnych wyniosły 92,2 mld zł. W efekcie stopie</w:t>
      </w:r>
      <w:r w:rsidR="00E9171E">
        <w:rPr>
          <w:rFonts w:eastAsia="Japanese Gothic" w:cs="Times New Roman"/>
          <w:color w:val="000000"/>
          <w:sz w:val="24"/>
          <w:szCs w:val="24"/>
          <w:lang w:eastAsia="pl-PL"/>
        </w:rPr>
        <w:t>ń pokrycia wydatków wpływami ze </w:t>
      </w:r>
      <w:r w:rsidRPr="002B2D33">
        <w:rPr>
          <w:rFonts w:eastAsia="Japanese Gothic" w:cs="Times New Roman"/>
          <w:color w:val="000000"/>
          <w:sz w:val="24"/>
          <w:szCs w:val="24"/>
          <w:lang w:eastAsia="pl-PL"/>
        </w:rPr>
        <w:t xml:space="preserve">składek i ich pochodnych wyniósł w pierwszym półroczu br. poziom 70,9% – najniższy od </w:t>
      </w:r>
      <w:r w:rsidR="00EF6118" w:rsidRPr="002B2D33">
        <w:rPr>
          <w:rFonts w:eastAsia="Japanese Gothic" w:cs="Times New Roman"/>
          <w:color w:val="000000"/>
          <w:sz w:val="24"/>
          <w:szCs w:val="24"/>
          <w:lang w:eastAsia="pl-PL"/>
        </w:rPr>
        <w:t>201</w:t>
      </w:r>
      <w:r w:rsidR="00EF6118">
        <w:rPr>
          <w:rFonts w:eastAsia="Japanese Gothic" w:cs="Times New Roman"/>
          <w:color w:val="000000"/>
          <w:sz w:val="24"/>
          <w:szCs w:val="24"/>
          <w:lang w:eastAsia="pl-PL"/>
        </w:rPr>
        <w:t>6</w:t>
      </w:r>
      <w:r w:rsidR="00EF6118" w:rsidRPr="002B2D33">
        <w:rPr>
          <w:rFonts w:eastAsia="Japanese Gothic" w:cs="Times New Roman"/>
          <w:color w:val="000000"/>
          <w:sz w:val="24"/>
          <w:szCs w:val="24"/>
          <w:lang w:eastAsia="pl-PL"/>
        </w:rPr>
        <w:t xml:space="preserve"> </w:t>
      </w:r>
      <w:r w:rsidRPr="002B2D33">
        <w:rPr>
          <w:rFonts w:eastAsia="Japanese Gothic" w:cs="Times New Roman"/>
          <w:color w:val="000000"/>
          <w:sz w:val="24"/>
          <w:szCs w:val="24"/>
          <w:lang w:eastAsia="pl-PL"/>
        </w:rPr>
        <w:t>roku.</w:t>
      </w:r>
    </w:p>
    <w:p w:rsidR="007233C1" w:rsidRDefault="007233C1" w:rsidP="009D7FE1">
      <w:pPr>
        <w:keepNext/>
        <w:spacing w:before="120" w:after="120"/>
        <w:jc w:val="both"/>
      </w:pPr>
      <w:r w:rsidRPr="001B4F73">
        <w:rPr>
          <w:noProof/>
          <w:sz w:val="18"/>
          <w:lang w:eastAsia="pl-PL"/>
        </w:rPr>
        <w:drawing>
          <wp:inline distT="0" distB="0" distL="0" distR="0" wp14:anchorId="425A2DE1" wp14:editId="189EE124">
            <wp:extent cx="5811982" cy="2071255"/>
            <wp:effectExtent l="0" t="0" r="0" b="5715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33C1" w:rsidRPr="009F78B2" w:rsidRDefault="007233C1" w:rsidP="007233C1">
      <w:pPr>
        <w:pStyle w:val="Legenda"/>
      </w:pPr>
      <w:r w:rsidRPr="009F78B2">
        <w:rPr>
          <w:b/>
        </w:rPr>
        <w:t xml:space="preserve">Wykres </w:t>
      </w:r>
      <w:r w:rsidRPr="009F78B2">
        <w:rPr>
          <w:b/>
        </w:rPr>
        <w:fldChar w:fldCharType="begin"/>
      </w:r>
      <w:r w:rsidRPr="009F78B2">
        <w:rPr>
          <w:b/>
        </w:rPr>
        <w:instrText xml:space="preserve"> SEQ Wykres \* ARABIC </w:instrText>
      </w:r>
      <w:r w:rsidRPr="009F78B2">
        <w:rPr>
          <w:b/>
        </w:rPr>
        <w:fldChar w:fldCharType="separate"/>
      </w:r>
      <w:r>
        <w:rPr>
          <w:b/>
          <w:noProof/>
        </w:rPr>
        <w:t>1</w:t>
      </w:r>
      <w:r w:rsidRPr="009F78B2">
        <w:rPr>
          <w:b/>
        </w:rPr>
        <w:fldChar w:fldCharType="end"/>
      </w:r>
      <w:r w:rsidRPr="009F78B2">
        <w:rPr>
          <w:b/>
        </w:rPr>
        <w:t>.</w:t>
      </w:r>
      <w:r w:rsidRPr="009F78B2">
        <w:t xml:space="preserve"> Wskaźnik pokrycia wydatków przychodami ze składek w Funduszu Ubezpieczeń Społecznych</w:t>
      </w:r>
    </w:p>
    <w:p w:rsidR="007233C1" w:rsidRPr="008677C7" w:rsidRDefault="007233C1" w:rsidP="007233C1">
      <w:pPr>
        <w:keepNext/>
        <w:spacing w:before="360" w:after="0"/>
        <w:jc w:val="both"/>
        <w:rPr>
          <w:color w:val="000000"/>
          <w:sz w:val="24"/>
        </w:rPr>
      </w:pPr>
      <w:r w:rsidRPr="008677C7">
        <w:rPr>
          <w:b/>
          <w:color w:val="000000"/>
          <w:sz w:val="24"/>
        </w:rPr>
        <w:lastRenderedPageBreak/>
        <w:t>Zestawienie przychodów i kosztów FUS (w tys. zł)</w:t>
      </w:r>
      <w:r w:rsidRPr="008677C7">
        <w:rPr>
          <w:color w:val="000000"/>
          <w:sz w:val="24"/>
        </w:rPr>
        <w:tab/>
      </w: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3"/>
        <w:gridCol w:w="1417"/>
        <w:gridCol w:w="2127"/>
        <w:gridCol w:w="1275"/>
      </w:tblGrid>
      <w:tr w:rsidR="007233C1" w:rsidRPr="005A4538" w:rsidTr="00842A89">
        <w:trPr>
          <w:trHeight w:hRule="exact" w:val="567"/>
        </w:trPr>
        <w:tc>
          <w:tcPr>
            <w:tcW w:w="4283" w:type="dxa"/>
            <w:tcBorders>
              <w:left w:val="nil"/>
              <w:right w:val="nil"/>
            </w:tcBorders>
            <w:shd w:val="clear" w:color="auto" w:fill="00416E"/>
            <w:vAlign w:val="center"/>
          </w:tcPr>
          <w:p w:rsidR="007233C1" w:rsidRPr="005A4538" w:rsidRDefault="007233C1" w:rsidP="00842A89">
            <w:pPr>
              <w:keepNext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eastAsiaTheme="minorEastAsi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4538">
              <w:rPr>
                <w:rFonts w:eastAsiaTheme="minorEastAsia" w:cstheme="minorHAnsi"/>
                <w:b/>
                <w:bCs/>
                <w:color w:val="FFFFFF" w:themeColor="background1"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00416E"/>
            <w:vAlign w:val="center"/>
          </w:tcPr>
          <w:p w:rsidR="007233C1" w:rsidRPr="005A4538" w:rsidRDefault="007233C1" w:rsidP="00842A89">
            <w:pPr>
              <w:keepNext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eastAsiaTheme="minorEastAsia" w:cstheme="min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</w:pPr>
            <w:r w:rsidRPr="005A4538">
              <w:rPr>
                <w:rFonts w:eastAsiaTheme="minorEastAsia" w:cstheme="minorHAnsi"/>
                <w:b/>
                <w:bCs/>
                <w:color w:val="FFFFFF" w:themeColor="background1"/>
                <w:sz w:val="20"/>
                <w:szCs w:val="20"/>
              </w:rPr>
              <w:t>Plan 20</w:t>
            </w:r>
            <w:r>
              <w:rPr>
                <w:rFonts w:eastAsiaTheme="minorEastAsia" w:cstheme="minorHAnsi"/>
                <w:b/>
                <w:bCs/>
                <w:color w:val="FFFFFF" w:themeColor="background1"/>
                <w:sz w:val="20"/>
                <w:szCs w:val="20"/>
              </w:rPr>
              <w:t>20</w:t>
            </w:r>
            <w:r w:rsidRPr="005A4538">
              <w:rPr>
                <w:rFonts w:eastAsiaTheme="minorEastAsia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r.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00416E"/>
            <w:vAlign w:val="center"/>
          </w:tcPr>
          <w:p w:rsidR="007233C1" w:rsidRPr="00040A55" w:rsidRDefault="007233C1" w:rsidP="00FB3DED">
            <w:pPr>
              <w:keepNext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040A55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Wykonanie styczeń–</w:t>
            </w:r>
            <w:r w:rsidR="00FB3DED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czerwiec</w:t>
            </w:r>
            <w:r w:rsidR="00FB3DED" w:rsidRPr="00040A55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040A55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20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20</w:t>
            </w:r>
            <w:r w:rsidRPr="00040A55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 r.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00416E"/>
            <w:vAlign w:val="center"/>
          </w:tcPr>
          <w:p w:rsidR="007233C1" w:rsidRPr="005A4538" w:rsidRDefault="007233C1" w:rsidP="00842A89">
            <w:pPr>
              <w:keepNext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eastAsiaTheme="minorEastAsi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A4538">
              <w:rPr>
                <w:rFonts w:eastAsiaTheme="minorEastAsia" w:cstheme="minorHAnsi"/>
                <w:b/>
                <w:bCs/>
                <w:color w:val="FFFFFF" w:themeColor="background1"/>
                <w:sz w:val="20"/>
                <w:szCs w:val="20"/>
              </w:rPr>
              <w:t>% wykonania planu</w:t>
            </w:r>
          </w:p>
        </w:tc>
      </w:tr>
      <w:tr w:rsidR="007233C1" w:rsidRPr="005A4538" w:rsidTr="00842A89">
        <w:trPr>
          <w:trHeight w:hRule="exact" w:val="283"/>
        </w:trPr>
        <w:tc>
          <w:tcPr>
            <w:tcW w:w="4283" w:type="dxa"/>
            <w:tcBorders>
              <w:left w:val="nil"/>
              <w:bottom w:val="single" w:sz="4" w:space="0" w:color="00416E"/>
              <w:right w:val="nil"/>
            </w:tcBorders>
            <w:vAlign w:val="center"/>
          </w:tcPr>
          <w:p w:rsidR="007233C1" w:rsidRPr="005A4538" w:rsidRDefault="007233C1" w:rsidP="00842A89">
            <w:pPr>
              <w:keepNext/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A4538">
              <w:rPr>
                <w:rFonts w:eastAsiaTheme="minorEastAsia" w:cstheme="minorHAnsi"/>
                <w:color w:val="000000"/>
                <w:sz w:val="20"/>
                <w:szCs w:val="20"/>
              </w:rPr>
              <w:t>Stan Funduszu na początek okresu</w:t>
            </w:r>
          </w:p>
        </w:tc>
        <w:tc>
          <w:tcPr>
            <w:tcW w:w="1417" w:type="dxa"/>
            <w:tcBorders>
              <w:left w:val="nil"/>
              <w:bottom w:val="single" w:sz="4" w:space="0" w:color="00416E"/>
              <w:right w:val="nil"/>
            </w:tcBorders>
            <w:vAlign w:val="center"/>
          </w:tcPr>
          <w:p w:rsidR="007233C1" w:rsidRDefault="007233C1" w:rsidP="00842A89">
            <w:pPr>
              <w:ind w:right="213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5 083 810</w:t>
            </w:r>
          </w:p>
        </w:tc>
        <w:tc>
          <w:tcPr>
            <w:tcW w:w="2127" w:type="dxa"/>
            <w:tcBorders>
              <w:left w:val="nil"/>
              <w:bottom w:val="single" w:sz="4" w:space="0" w:color="00416E"/>
              <w:right w:val="nil"/>
            </w:tcBorders>
            <w:vAlign w:val="center"/>
          </w:tcPr>
          <w:p w:rsidR="007233C1" w:rsidRDefault="007233C1" w:rsidP="00842A89">
            <w:pPr>
              <w:ind w:right="356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4 208 150</w:t>
            </w:r>
          </w:p>
        </w:tc>
        <w:tc>
          <w:tcPr>
            <w:tcW w:w="1275" w:type="dxa"/>
            <w:tcBorders>
              <w:left w:val="nil"/>
              <w:bottom w:val="single" w:sz="4" w:space="0" w:color="00416E"/>
              <w:right w:val="nil"/>
            </w:tcBorders>
            <w:vAlign w:val="center"/>
          </w:tcPr>
          <w:p w:rsidR="007233C1" w:rsidRDefault="007233C1" w:rsidP="008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82,8</w:t>
            </w:r>
          </w:p>
        </w:tc>
      </w:tr>
      <w:tr w:rsidR="007233C1" w:rsidRPr="005A4538" w:rsidTr="00842A89">
        <w:trPr>
          <w:trHeight w:hRule="exact" w:val="283"/>
        </w:trPr>
        <w:tc>
          <w:tcPr>
            <w:tcW w:w="4283" w:type="dxa"/>
            <w:tcBorders>
              <w:top w:val="single" w:sz="4" w:space="0" w:color="00416E"/>
              <w:left w:val="nil"/>
              <w:bottom w:val="single" w:sz="4" w:space="0" w:color="00416E"/>
              <w:right w:val="nil"/>
            </w:tcBorders>
            <w:vAlign w:val="center"/>
          </w:tcPr>
          <w:p w:rsidR="007233C1" w:rsidRPr="005A4538" w:rsidRDefault="007233C1" w:rsidP="00842A89">
            <w:pPr>
              <w:keepNext/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A4538">
              <w:rPr>
                <w:rFonts w:eastAsiaTheme="minorEastAsia" w:cstheme="minorHAnsi"/>
                <w:color w:val="000000"/>
                <w:sz w:val="20"/>
                <w:szCs w:val="20"/>
              </w:rPr>
              <w:t>Przychody (przypis), z tego:</w:t>
            </w:r>
          </w:p>
        </w:tc>
        <w:tc>
          <w:tcPr>
            <w:tcW w:w="1417" w:type="dxa"/>
            <w:tcBorders>
              <w:top w:val="single" w:sz="4" w:space="0" w:color="00416E"/>
              <w:left w:val="nil"/>
              <w:bottom w:val="single" w:sz="4" w:space="0" w:color="00416E"/>
              <w:right w:val="nil"/>
            </w:tcBorders>
            <w:vAlign w:val="center"/>
          </w:tcPr>
          <w:p w:rsidR="007233C1" w:rsidRDefault="007233C1" w:rsidP="00842A89">
            <w:pPr>
              <w:ind w:right="213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262 181 352</w:t>
            </w:r>
          </w:p>
        </w:tc>
        <w:tc>
          <w:tcPr>
            <w:tcW w:w="2127" w:type="dxa"/>
            <w:tcBorders>
              <w:top w:val="single" w:sz="4" w:space="0" w:color="00416E"/>
              <w:left w:val="nil"/>
              <w:bottom w:val="single" w:sz="4" w:space="0" w:color="00416E"/>
              <w:right w:val="nil"/>
            </w:tcBorders>
          </w:tcPr>
          <w:p w:rsidR="007233C1" w:rsidRDefault="007233C1" w:rsidP="00842A89">
            <w:pPr>
              <w:ind w:right="356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6E8A">
              <w:rPr>
                <w:rFonts w:ascii="Calibri" w:hAnsi="Calibri" w:cs="Arial"/>
                <w:b/>
                <w:bCs/>
                <w:sz w:val="20"/>
                <w:szCs w:val="20"/>
              </w:rPr>
              <w:t>147 594 094</w:t>
            </w:r>
          </w:p>
        </w:tc>
        <w:tc>
          <w:tcPr>
            <w:tcW w:w="1275" w:type="dxa"/>
            <w:tcBorders>
              <w:top w:val="single" w:sz="4" w:space="0" w:color="00416E"/>
              <w:left w:val="nil"/>
              <w:bottom w:val="single" w:sz="4" w:space="0" w:color="00416E"/>
              <w:right w:val="nil"/>
            </w:tcBorders>
          </w:tcPr>
          <w:p w:rsidR="007233C1" w:rsidRDefault="007233C1" w:rsidP="008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E8A">
              <w:rPr>
                <w:rFonts w:ascii="Calibri" w:hAnsi="Calibri" w:cs="Arial"/>
                <w:sz w:val="20"/>
                <w:szCs w:val="20"/>
              </w:rPr>
              <w:t>56,3</w:t>
            </w:r>
          </w:p>
        </w:tc>
      </w:tr>
      <w:tr w:rsidR="007233C1" w:rsidRPr="005A4538" w:rsidTr="00842A89">
        <w:trPr>
          <w:trHeight w:hRule="exact" w:val="28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C1" w:rsidRPr="005A4538" w:rsidRDefault="007233C1" w:rsidP="00842A89">
            <w:pPr>
              <w:keepNext/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A4538">
              <w:rPr>
                <w:rFonts w:eastAsiaTheme="minorEastAsia" w:cstheme="minorHAnsi"/>
                <w:color w:val="000000"/>
                <w:sz w:val="20"/>
                <w:szCs w:val="20"/>
              </w:rPr>
              <w:t xml:space="preserve">   Składki na ubezpieczenia społeczne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C1" w:rsidRDefault="007233C1" w:rsidP="00842A89">
            <w:pPr>
              <w:ind w:right="213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209 456 514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233C1" w:rsidRDefault="007233C1" w:rsidP="00842A89">
            <w:pPr>
              <w:ind w:right="356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6E8A">
              <w:rPr>
                <w:rFonts w:ascii="Calibri" w:hAnsi="Calibri" w:cs="Arial"/>
                <w:b/>
                <w:bCs/>
                <w:sz w:val="20"/>
                <w:szCs w:val="20"/>
              </w:rPr>
              <w:t>106 875 833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233C1" w:rsidRDefault="007233C1" w:rsidP="008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E8A">
              <w:rPr>
                <w:rFonts w:ascii="Calibri" w:hAnsi="Calibri" w:cs="Arial"/>
                <w:sz w:val="20"/>
                <w:szCs w:val="20"/>
              </w:rPr>
              <w:t>51,0</w:t>
            </w:r>
          </w:p>
        </w:tc>
      </w:tr>
      <w:tr w:rsidR="007233C1" w:rsidRPr="005A4538" w:rsidTr="00842A89">
        <w:trPr>
          <w:trHeight w:hRule="exact" w:val="28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C1" w:rsidRPr="005A4538" w:rsidRDefault="007233C1" w:rsidP="00842A89">
            <w:pPr>
              <w:keepNext/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A4538">
              <w:rPr>
                <w:rFonts w:eastAsiaTheme="minorEastAsia" w:cstheme="minorHAnsi"/>
                <w:color w:val="000000"/>
                <w:sz w:val="20"/>
                <w:szCs w:val="20"/>
              </w:rPr>
              <w:t xml:space="preserve">   Dotacja do FUS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C1" w:rsidRDefault="007233C1" w:rsidP="00842A89">
            <w:pPr>
              <w:ind w:right="213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33 522 023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233C1" w:rsidRDefault="007233C1" w:rsidP="00842A89">
            <w:pPr>
              <w:ind w:right="356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6E8A">
              <w:rPr>
                <w:rFonts w:ascii="Calibri" w:hAnsi="Calibri" w:cs="Arial"/>
                <w:b/>
                <w:bCs/>
                <w:sz w:val="20"/>
                <w:szCs w:val="20"/>
              </w:rPr>
              <w:t>20 118 693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233C1" w:rsidRDefault="007233C1" w:rsidP="008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E8A">
              <w:rPr>
                <w:rFonts w:ascii="Calibri" w:hAnsi="Calibri" w:cs="Arial"/>
                <w:sz w:val="20"/>
                <w:szCs w:val="20"/>
              </w:rPr>
              <w:t>60,0</w:t>
            </w:r>
          </w:p>
        </w:tc>
      </w:tr>
      <w:tr w:rsidR="007233C1" w:rsidRPr="005A4538" w:rsidTr="00842A89">
        <w:trPr>
          <w:trHeight w:hRule="exact" w:val="283"/>
        </w:trPr>
        <w:tc>
          <w:tcPr>
            <w:tcW w:w="4283" w:type="dxa"/>
            <w:tcBorders>
              <w:top w:val="nil"/>
              <w:left w:val="nil"/>
              <w:right w:val="nil"/>
            </w:tcBorders>
            <w:vAlign w:val="center"/>
          </w:tcPr>
          <w:p w:rsidR="007233C1" w:rsidRPr="005A4538" w:rsidRDefault="007233C1" w:rsidP="00842A89">
            <w:pPr>
              <w:keepNext/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A4538">
              <w:rPr>
                <w:rFonts w:eastAsiaTheme="minorEastAsia" w:cstheme="minorHAnsi"/>
                <w:color w:val="000000"/>
                <w:sz w:val="20"/>
                <w:szCs w:val="20"/>
              </w:rPr>
              <w:t xml:space="preserve">   Pozostałe</w:t>
            </w:r>
            <w:r>
              <w:rPr>
                <w:rFonts w:eastAsiaTheme="minorEastAsia" w:cstheme="minorHAnsi"/>
                <w:color w:val="000000"/>
                <w:sz w:val="20"/>
                <w:szCs w:val="20"/>
              </w:rPr>
              <w:t>, w tym: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7233C1" w:rsidRDefault="007233C1" w:rsidP="00842A89">
            <w:pPr>
              <w:ind w:right="213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19 202 815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7233C1" w:rsidRDefault="007233C1" w:rsidP="00842A89">
            <w:pPr>
              <w:ind w:right="356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6E8A">
              <w:rPr>
                <w:rFonts w:ascii="Calibri" w:hAnsi="Calibri" w:cs="Arial"/>
                <w:b/>
                <w:bCs/>
                <w:sz w:val="20"/>
                <w:szCs w:val="20"/>
              </w:rPr>
              <w:t>20 599 568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7233C1" w:rsidRDefault="007233C1" w:rsidP="008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E8A">
              <w:rPr>
                <w:rFonts w:ascii="Calibri" w:hAnsi="Calibri" w:cs="Arial"/>
                <w:sz w:val="20"/>
                <w:szCs w:val="20"/>
              </w:rPr>
              <w:t>107,3</w:t>
            </w:r>
          </w:p>
        </w:tc>
      </w:tr>
      <w:tr w:rsidR="007233C1" w:rsidRPr="005A4538" w:rsidTr="00842A89">
        <w:trPr>
          <w:trHeight w:hRule="exact" w:val="283"/>
        </w:trPr>
        <w:tc>
          <w:tcPr>
            <w:tcW w:w="4283" w:type="dxa"/>
            <w:tcBorders>
              <w:top w:val="nil"/>
              <w:left w:val="nil"/>
              <w:right w:val="nil"/>
            </w:tcBorders>
            <w:vAlign w:val="center"/>
          </w:tcPr>
          <w:p w:rsidR="007233C1" w:rsidRPr="005A4538" w:rsidRDefault="007233C1" w:rsidP="00842A89">
            <w:pPr>
              <w:keepNext/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A4538">
              <w:rPr>
                <w:rFonts w:eastAsiaTheme="minorEastAsia" w:cstheme="minorHAnsi"/>
                <w:color w:val="000000"/>
                <w:sz w:val="20"/>
                <w:szCs w:val="20"/>
              </w:rPr>
              <w:t xml:space="preserve">     z tytułu reformy OFE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7233C1" w:rsidRDefault="007233C1" w:rsidP="00842A89">
            <w:pPr>
              <w:ind w:right="213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17 571 670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7233C1" w:rsidRDefault="007233C1" w:rsidP="00842A89">
            <w:pPr>
              <w:ind w:right="356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6E8A">
              <w:rPr>
                <w:rFonts w:ascii="Calibri" w:hAnsi="Calibri" w:cs="Arial"/>
                <w:b/>
                <w:bCs/>
                <w:sz w:val="20"/>
                <w:szCs w:val="20"/>
              </w:rPr>
              <w:t>2 914 461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7233C1" w:rsidRDefault="007233C1" w:rsidP="008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E8A">
              <w:rPr>
                <w:rFonts w:ascii="Calibri" w:hAnsi="Calibri" w:cs="Arial"/>
                <w:sz w:val="20"/>
                <w:szCs w:val="20"/>
              </w:rPr>
              <w:t>16,6</w:t>
            </w:r>
          </w:p>
        </w:tc>
      </w:tr>
      <w:tr w:rsidR="007233C1" w:rsidRPr="005A4538" w:rsidTr="00842A89">
        <w:trPr>
          <w:trHeight w:hRule="exact" w:val="283"/>
        </w:trPr>
        <w:tc>
          <w:tcPr>
            <w:tcW w:w="4283" w:type="dxa"/>
            <w:tcBorders>
              <w:top w:val="nil"/>
              <w:left w:val="nil"/>
              <w:right w:val="nil"/>
            </w:tcBorders>
            <w:vAlign w:val="center"/>
          </w:tcPr>
          <w:p w:rsidR="007233C1" w:rsidRPr="005A4538" w:rsidRDefault="007233C1" w:rsidP="00842A89">
            <w:pPr>
              <w:keepNext/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>
              <w:rPr>
                <w:rFonts w:eastAsiaTheme="minorEastAsia" w:cstheme="minorHAnsi"/>
                <w:color w:val="000000"/>
                <w:sz w:val="20"/>
                <w:szCs w:val="20"/>
              </w:rPr>
              <w:t xml:space="preserve">      </w:t>
            </w:r>
            <w:r w:rsidRPr="00016E8A">
              <w:rPr>
                <w:rFonts w:eastAsiaTheme="minorEastAsia" w:cstheme="minorHAnsi"/>
                <w:color w:val="000000"/>
                <w:sz w:val="20"/>
                <w:szCs w:val="20"/>
              </w:rPr>
              <w:t>środki z Funduszu Przeciwdziałania</w:t>
            </w:r>
            <w:r>
              <w:rPr>
                <w:rFonts w:eastAsiaTheme="minorEastAsia" w:cstheme="minorHAnsi"/>
                <w:color w:val="000000"/>
                <w:sz w:val="20"/>
                <w:szCs w:val="20"/>
              </w:rPr>
              <w:t xml:space="preserve"> COVID-19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7233C1" w:rsidRDefault="007233C1" w:rsidP="00842A89">
            <w:pPr>
              <w:ind w:right="213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FB30C4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</w:tcPr>
          <w:p w:rsidR="007233C1" w:rsidRDefault="007233C1" w:rsidP="00842A89">
            <w:pPr>
              <w:ind w:right="356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B30C4">
              <w:rPr>
                <w:rFonts w:ascii="Calibri" w:hAnsi="Calibri" w:cs="Arial"/>
                <w:b/>
                <w:bCs/>
                <w:sz w:val="20"/>
                <w:szCs w:val="20"/>
              </w:rPr>
              <w:t>16 600 000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7233C1" w:rsidRPr="00606736" w:rsidRDefault="007233C1" w:rsidP="008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233C1" w:rsidRPr="005A4538" w:rsidTr="00842A89">
        <w:trPr>
          <w:trHeight w:hRule="exact" w:val="283"/>
        </w:trPr>
        <w:tc>
          <w:tcPr>
            <w:tcW w:w="4283" w:type="dxa"/>
            <w:tcBorders>
              <w:top w:val="single" w:sz="4" w:space="0" w:color="00416E"/>
              <w:left w:val="nil"/>
              <w:bottom w:val="single" w:sz="4" w:space="0" w:color="00416E"/>
              <w:right w:val="nil"/>
            </w:tcBorders>
            <w:vAlign w:val="center"/>
          </w:tcPr>
          <w:p w:rsidR="007233C1" w:rsidRPr="005A4538" w:rsidRDefault="007233C1" w:rsidP="00842A89">
            <w:pPr>
              <w:keepNext/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A4538">
              <w:rPr>
                <w:rFonts w:eastAsiaTheme="minorEastAsia" w:cstheme="minorHAnsi"/>
                <w:color w:val="000000"/>
                <w:sz w:val="20"/>
                <w:szCs w:val="20"/>
              </w:rPr>
              <w:t>Koszty, w tym:</w:t>
            </w:r>
          </w:p>
        </w:tc>
        <w:tc>
          <w:tcPr>
            <w:tcW w:w="1417" w:type="dxa"/>
            <w:tcBorders>
              <w:top w:val="single" w:sz="4" w:space="0" w:color="00416E"/>
              <w:left w:val="nil"/>
              <w:bottom w:val="single" w:sz="4" w:space="0" w:color="00416E"/>
              <w:right w:val="nil"/>
            </w:tcBorders>
            <w:vAlign w:val="center"/>
          </w:tcPr>
          <w:p w:rsidR="007233C1" w:rsidRDefault="007233C1" w:rsidP="00842A89">
            <w:pPr>
              <w:ind w:right="213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261 395 518</w:t>
            </w:r>
          </w:p>
        </w:tc>
        <w:tc>
          <w:tcPr>
            <w:tcW w:w="2127" w:type="dxa"/>
            <w:tcBorders>
              <w:top w:val="single" w:sz="4" w:space="0" w:color="00416E"/>
              <w:left w:val="nil"/>
              <w:bottom w:val="single" w:sz="4" w:space="0" w:color="00416E"/>
              <w:right w:val="nil"/>
            </w:tcBorders>
          </w:tcPr>
          <w:p w:rsidR="007233C1" w:rsidRDefault="007233C1" w:rsidP="00842A89">
            <w:pPr>
              <w:ind w:right="356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6E8A">
              <w:rPr>
                <w:rFonts w:ascii="Calibri" w:hAnsi="Calibri" w:cs="Arial"/>
                <w:b/>
                <w:bCs/>
                <w:sz w:val="20"/>
                <w:szCs w:val="20"/>
              </w:rPr>
              <w:t>138 225 989</w:t>
            </w:r>
          </w:p>
        </w:tc>
        <w:tc>
          <w:tcPr>
            <w:tcW w:w="1275" w:type="dxa"/>
            <w:tcBorders>
              <w:top w:val="single" w:sz="4" w:space="0" w:color="00416E"/>
              <w:left w:val="nil"/>
              <w:bottom w:val="single" w:sz="4" w:space="0" w:color="00416E"/>
              <w:right w:val="nil"/>
            </w:tcBorders>
          </w:tcPr>
          <w:p w:rsidR="007233C1" w:rsidRDefault="007233C1" w:rsidP="008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E8A">
              <w:rPr>
                <w:rFonts w:ascii="Calibri" w:hAnsi="Calibri" w:cs="Arial"/>
                <w:sz w:val="20"/>
                <w:szCs w:val="20"/>
              </w:rPr>
              <w:t>52,9</w:t>
            </w:r>
          </w:p>
        </w:tc>
      </w:tr>
      <w:tr w:rsidR="007233C1" w:rsidRPr="005A4538" w:rsidTr="00842A89">
        <w:trPr>
          <w:trHeight w:hRule="exact" w:val="28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C1" w:rsidRPr="005A4538" w:rsidRDefault="007233C1" w:rsidP="00842A89">
            <w:pPr>
              <w:keepNext/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A4538">
              <w:rPr>
                <w:rFonts w:eastAsiaTheme="minorEastAsia" w:cstheme="minorHAnsi"/>
                <w:color w:val="000000"/>
                <w:sz w:val="20"/>
                <w:szCs w:val="20"/>
              </w:rPr>
              <w:t xml:space="preserve">   Emerytury i renty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C1" w:rsidRDefault="007233C1" w:rsidP="00842A89">
            <w:pPr>
              <w:ind w:right="213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227 895 407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233C1" w:rsidRDefault="007233C1" w:rsidP="00842A89">
            <w:pPr>
              <w:ind w:right="356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6E8A">
              <w:rPr>
                <w:rFonts w:ascii="Calibri" w:hAnsi="Calibri" w:cs="Arial"/>
                <w:b/>
                <w:bCs/>
                <w:sz w:val="20"/>
                <w:szCs w:val="20"/>
              </w:rPr>
              <w:t>112 830 192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233C1" w:rsidRDefault="007233C1" w:rsidP="008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E8A">
              <w:rPr>
                <w:rFonts w:ascii="Calibri" w:hAnsi="Calibri" w:cs="Arial"/>
                <w:sz w:val="20"/>
                <w:szCs w:val="20"/>
              </w:rPr>
              <w:t>49,5</w:t>
            </w:r>
          </w:p>
        </w:tc>
      </w:tr>
      <w:tr w:rsidR="007233C1" w:rsidRPr="005A4538" w:rsidTr="00842A89">
        <w:trPr>
          <w:trHeight w:hRule="exact" w:val="28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C1" w:rsidRPr="005A4538" w:rsidRDefault="007233C1" w:rsidP="00842A89">
            <w:pPr>
              <w:keepNext/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A4538">
              <w:rPr>
                <w:rFonts w:eastAsiaTheme="minorEastAsia" w:cstheme="minorHAnsi"/>
                <w:color w:val="000000"/>
                <w:sz w:val="20"/>
                <w:szCs w:val="20"/>
              </w:rPr>
              <w:t xml:space="preserve">   Pozostałe świadczenia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C1" w:rsidRDefault="007233C1" w:rsidP="00842A89">
            <w:pPr>
              <w:ind w:right="213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27 794 094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233C1" w:rsidRDefault="007233C1" w:rsidP="00842A89">
            <w:pPr>
              <w:ind w:right="356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6E8A">
              <w:rPr>
                <w:rFonts w:ascii="Calibri" w:hAnsi="Calibri" w:cs="Arial"/>
                <w:b/>
                <w:bCs/>
                <w:sz w:val="20"/>
                <w:szCs w:val="20"/>
              </w:rPr>
              <w:t>15 325 525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233C1" w:rsidRDefault="007233C1" w:rsidP="008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E8A">
              <w:rPr>
                <w:rFonts w:ascii="Calibri" w:hAnsi="Calibri" w:cs="Arial"/>
                <w:sz w:val="20"/>
                <w:szCs w:val="20"/>
              </w:rPr>
              <w:t>55,1</w:t>
            </w:r>
          </w:p>
        </w:tc>
      </w:tr>
      <w:tr w:rsidR="007233C1" w:rsidRPr="005A4538" w:rsidTr="00842A89">
        <w:trPr>
          <w:trHeight w:hRule="exact" w:val="283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C1" w:rsidRPr="005A4538" w:rsidRDefault="007233C1" w:rsidP="00842A89">
            <w:pPr>
              <w:keepNext/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A4538">
              <w:rPr>
                <w:rFonts w:eastAsiaTheme="minorEastAsia" w:cstheme="minorHAnsi"/>
                <w:color w:val="000000"/>
                <w:sz w:val="20"/>
                <w:szCs w:val="20"/>
              </w:rPr>
              <w:t xml:space="preserve">   Odpis na ZUS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3C1" w:rsidRDefault="007233C1" w:rsidP="00842A89">
            <w:pPr>
              <w:ind w:right="213"/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3 865 499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233C1" w:rsidRPr="00016E8A" w:rsidRDefault="007233C1" w:rsidP="00842A89">
            <w:pPr>
              <w:ind w:right="356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6E8A">
              <w:rPr>
                <w:rFonts w:ascii="Calibri" w:hAnsi="Calibri" w:cs="Arial"/>
                <w:b/>
                <w:bCs/>
                <w:sz w:val="20"/>
                <w:szCs w:val="20"/>
              </w:rPr>
              <w:t>1 932 749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233C1" w:rsidRPr="00016E8A" w:rsidRDefault="007233C1" w:rsidP="008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E8A">
              <w:rPr>
                <w:rFonts w:ascii="Calibri" w:hAnsi="Calibri" w:cs="Arial"/>
                <w:sz w:val="20"/>
                <w:szCs w:val="20"/>
              </w:rPr>
              <w:t>50,0</w:t>
            </w:r>
          </w:p>
        </w:tc>
      </w:tr>
      <w:tr w:rsidR="007233C1" w:rsidRPr="005A4538" w:rsidTr="00842A89">
        <w:trPr>
          <w:trHeight w:hRule="exact" w:val="283"/>
        </w:trPr>
        <w:tc>
          <w:tcPr>
            <w:tcW w:w="4283" w:type="dxa"/>
            <w:tcBorders>
              <w:top w:val="nil"/>
              <w:left w:val="nil"/>
              <w:bottom w:val="single" w:sz="4" w:space="0" w:color="00416E"/>
              <w:right w:val="nil"/>
            </w:tcBorders>
            <w:vAlign w:val="center"/>
          </w:tcPr>
          <w:p w:rsidR="007233C1" w:rsidRPr="005A4538" w:rsidRDefault="007233C1" w:rsidP="00842A89">
            <w:pPr>
              <w:keepNext/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A4538">
              <w:rPr>
                <w:rFonts w:eastAsiaTheme="minorEastAsia" w:cstheme="minorHAnsi"/>
                <w:color w:val="000000"/>
                <w:sz w:val="20"/>
                <w:szCs w:val="20"/>
              </w:rPr>
              <w:t xml:space="preserve">   Prewencje rentowa i wypadkowa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416E"/>
              <w:right w:val="nil"/>
            </w:tcBorders>
            <w:vAlign w:val="center"/>
          </w:tcPr>
          <w:p w:rsidR="007233C1" w:rsidRDefault="007233C1" w:rsidP="00842A89">
            <w:pPr>
              <w:ind w:right="213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325 830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416E"/>
              <w:right w:val="nil"/>
            </w:tcBorders>
          </w:tcPr>
          <w:p w:rsidR="007233C1" w:rsidRDefault="007233C1" w:rsidP="00842A89">
            <w:pPr>
              <w:ind w:right="356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6E8A">
              <w:rPr>
                <w:rFonts w:ascii="Calibri" w:hAnsi="Calibri" w:cs="Arial"/>
                <w:b/>
                <w:bCs/>
                <w:sz w:val="20"/>
                <w:szCs w:val="20"/>
              </w:rPr>
              <w:t>84 277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416E"/>
              <w:right w:val="nil"/>
            </w:tcBorders>
          </w:tcPr>
          <w:p w:rsidR="007233C1" w:rsidRDefault="007233C1" w:rsidP="008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E8A">
              <w:rPr>
                <w:rFonts w:ascii="Calibri" w:hAnsi="Calibri" w:cs="Arial"/>
                <w:sz w:val="20"/>
                <w:szCs w:val="20"/>
              </w:rPr>
              <w:t>25,9</w:t>
            </w:r>
          </w:p>
        </w:tc>
      </w:tr>
      <w:tr w:rsidR="007233C1" w:rsidRPr="005A4538" w:rsidTr="00842A89">
        <w:trPr>
          <w:trHeight w:hRule="exact" w:val="283"/>
        </w:trPr>
        <w:tc>
          <w:tcPr>
            <w:tcW w:w="4283" w:type="dxa"/>
            <w:tcBorders>
              <w:top w:val="single" w:sz="4" w:space="0" w:color="00416E"/>
              <w:left w:val="nil"/>
              <w:bottom w:val="single" w:sz="18" w:space="0" w:color="00416E"/>
              <w:right w:val="nil"/>
            </w:tcBorders>
            <w:vAlign w:val="center"/>
          </w:tcPr>
          <w:p w:rsidR="007233C1" w:rsidRPr="005A4538" w:rsidRDefault="007233C1" w:rsidP="00842A89">
            <w:pPr>
              <w:autoSpaceDE w:val="0"/>
              <w:autoSpaceDN w:val="0"/>
              <w:adjustRightInd w:val="0"/>
              <w:spacing w:after="0"/>
              <w:rPr>
                <w:rFonts w:eastAsiaTheme="minorEastAsia" w:cstheme="minorHAnsi"/>
                <w:color w:val="000000"/>
                <w:sz w:val="20"/>
                <w:szCs w:val="20"/>
              </w:rPr>
            </w:pPr>
            <w:r w:rsidRPr="005A4538">
              <w:rPr>
                <w:rFonts w:eastAsiaTheme="minorEastAsia" w:cstheme="minorHAnsi"/>
                <w:color w:val="000000"/>
                <w:sz w:val="20"/>
                <w:szCs w:val="20"/>
              </w:rPr>
              <w:t>Stan Funduszu na koniec okresu</w:t>
            </w:r>
          </w:p>
        </w:tc>
        <w:tc>
          <w:tcPr>
            <w:tcW w:w="1417" w:type="dxa"/>
            <w:tcBorders>
              <w:top w:val="single" w:sz="4" w:space="0" w:color="00416E"/>
              <w:left w:val="nil"/>
              <w:bottom w:val="single" w:sz="18" w:space="0" w:color="00416E"/>
              <w:right w:val="nil"/>
            </w:tcBorders>
            <w:vAlign w:val="center"/>
          </w:tcPr>
          <w:p w:rsidR="007233C1" w:rsidRDefault="007233C1" w:rsidP="00842A89">
            <w:pPr>
              <w:ind w:right="213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5 869 644</w:t>
            </w:r>
          </w:p>
        </w:tc>
        <w:tc>
          <w:tcPr>
            <w:tcW w:w="2127" w:type="dxa"/>
            <w:tcBorders>
              <w:top w:val="single" w:sz="4" w:space="0" w:color="00416E"/>
              <w:left w:val="nil"/>
              <w:bottom w:val="single" w:sz="18" w:space="0" w:color="00416E"/>
              <w:right w:val="nil"/>
            </w:tcBorders>
          </w:tcPr>
          <w:p w:rsidR="007233C1" w:rsidRDefault="007233C1" w:rsidP="00842A89">
            <w:pPr>
              <w:ind w:right="356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6E8A">
              <w:rPr>
                <w:rFonts w:ascii="Calibri" w:hAnsi="Calibri" w:cs="Arial"/>
                <w:b/>
                <w:bCs/>
                <w:sz w:val="20"/>
                <w:szCs w:val="20"/>
              </w:rPr>
              <w:t>13 576 255</w:t>
            </w:r>
          </w:p>
        </w:tc>
        <w:tc>
          <w:tcPr>
            <w:tcW w:w="1275" w:type="dxa"/>
            <w:tcBorders>
              <w:top w:val="single" w:sz="4" w:space="0" w:color="00416E"/>
              <w:left w:val="nil"/>
              <w:bottom w:val="single" w:sz="18" w:space="0" w:color="00416E"/>
              <w:right w:val="nil"/>
            </w:tcBorders>
          </w:tcPr>
          <w:p w:rsidR="007233C1" w:rsidRDefault="007233C1" w:rsidP="008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6E8A">
              <w:rPr>
                <w:rFonts w:ascii="Calibri" w:hAnsi="Calibri" w:cs="Arial"/>
                <w:sz w:val="20"/>
                <w:szCs w:val="20"/>
              </w:rPr>
              <w:t>231,3</w:t>
            </w:r>
          </w:p>
        </w:tc>
      </w:tr>
    </w:tbl>
    <w:p w:rsidR="007233C1" w:rsidRPr="00D3226F" w:rsidRDefault="007233C1" w:rsidP="007233C1">
      <w:pPr>
        <w:spacing w:before="480" w:after="120"/>
        <w:jc w:val="both"/>
        <w:rPr>
          <w:b/>
          <w:sz w:val="28"/>
        </w:rPr>
      </w:pPr>
      <w:r w:rsidRPr="00D3226F">
        <w:rPr>
          <w:b/>
          <w:sz w:val="28"/>
        </w:rPr>
        <w:t>Przychody</w:t>
      </w:r>
    </w:p>
    <w:p w:rsidR="007233C1" w:rsidRPr="0071159B" w:rsidRDefault="007233C1" w:rsidP="007233C1">
      <w:pPr>
        <w:spacing w:before="120"/>
        <w:jc w:val="both"/>
        <w:rPr>
          <w:sz w:val="24"/>
        </w:rPr>
      </w:pPr>
      <w:r>
        <w:rPr>
          <w:sz w:val="24"/>
        </w:rPr>
        <w:t xml:space="preserve">W pierwszym półroczu </w:t>
      </w:r>
      <w:r w:rsidRPr="008677C7">
        <w:rPr>
          <w:sz w:val="24"/>
        </w:rPr>
        <w:t>20</w:t>
      </w:r>
      <w:r>
        <w:rPr>
          <w:sz w:val="24"/>
        </w:rPr>
        <w:t>20</w:t>
      </w:r>
      <w:r w:rsidRPr="008677C7">
        <w:rPr>
          <w:sz w:val="24"/>
        </w:rPr>
        <w:t xml:space="preserve"> r. dynamik</w:t>
      </w:r>
      <w:r>
        <w:rPr>
          <w:sz w:val="24"/>
        </w:rPr>
        <w:t>a</w:t>
      </w:r>
      <w:r w:rsidRPr="008677C7">
        <w:rPr>
          <w:sz w:val="24"/>
        </w:rPr>
        <w:t> przychodów FUS z tytułu składek na ubezpieczenia społeczne w ujęciu rok do roku</w:t>
      </w:r>
      <w:r>
        <w:rPr>
          <w:sz w:val="24"/>
        </w:rPr>
        <w:t xml:space="preserve"> nadal wykazywała tendencję wzrostową</w:t>
      </w:r>
      <w:r w:rsidRPr="008677C7">
        <w:rPr>
          <w:sz w:val="24"/>
        </w:rPr>
        <w:t>. Przypis składek</w:t>
      </w:r>
      <w:r>
        <w:rPr>
          <w:sz w:val="24"/>
        </w:rPr>
        <w:t xml:space="preserve"> w okresie styczeń-czerwiec</w:t>
      </w:r>
      <w:r w:rsidRPr="008677C7">
        <w:rPr>
          <w:sz w:val="24"/>
        </w:rPr>
        <w:t xml:space="preserve"> </w:t>
      </w:r>
      <w:r>
        <w:rPr>
          <w:sz w:val="24"/>
        </w:rPr>
        <w:t xml:space="preserve">wyniósł 106,9 mld zł i </w:t>
      </w:r>
      <w:r w:rsidRPr="008677C7">
        <w:rPr>
          <w:sz w:val="24"/>
        </w:rPr>
        <w:t xml:space="preserve">był </w:t>
      </w:r>
      <w:r>
        <w:rPr>
          <w:sz w:val="24"/>
        </w:rPr>
        <w:t>o 6,7</w:t>
      </w:r>
      <w:r w:rsidRPr="008677C7">
        <w:rPr>
          <w:sz w:val="24"/>
        </w:rPr>
        <w:t xml:space="preserve">% wyższy od </w:t>
      </w:r>
      <w:r>
        <w:rPr>
          <w:sz w:val="24"/>
        </w:rPr>
        <w:t>osiągniętego</w:t>
      </w:r>
      <w:r w:rsidRPr="008677C7">
        <w:rPr>
          <w:sz w:val="24"/>
        </w:rPr>
        <w:t xml:space="preserve"> w</w:t>
      </w:r>
      <w:r>
        <w:rPr>
          <w:sz w:val="24"/>
        </w:rPr>
        <w:t> </w:t>
      </w:r>
      <w:r w:rsidRPr="008677C7">
        <w:rPr>
          <w:sz w:val="24"/>
        </w:rPr>
        <w:t>analogicznym</w:t>
      </w:r>
      <w:r>
        <w:rPr>
          <w:sz w:val="24"/>
        </w:rPr>
        <w:t xml:space="preserve"> okresie</w:t>
      </w:r>
      <w:r w:rsidRPr="008677C7">
        <w:rPr>
          <w:sz w:val="24"/>
        </w:rPr>
        <w:t xml:space="preserve"> </w:t>
      </w:r>
      <w:r>
        <w:rPr>
          <w:sz w:val="24"/>
        </w:rPr>
        <w:t>2019</w:t>
      </w:r>
      <w:r w:rsidRPr="008677C7">
        <w:rPr>
          <w:sz w:val="24"/>
        </w:rPr>
        <w:t xml:space="preserve"> r. </w:t>
      </w:r>
      <w:r w:rsidRPr="0071159B">
        <w:rPr>
          <w:sz w:val="24"/>
        </w:rPr>
        <w:t>Należy jednak zaznaczyć, że w powyższej kwocie nie są ujęte skutki zwolnienia z obowiązku opłacania składek na ubezpieczenia społeczne w ramach programu pomocowego kierowanego do płatników składek, którzy nie mogli regulować swoich zobowiązań w związku z kryzysem wywołanym epidemią COVID-19. W omawianym okresie płatnicy zostali zwolnieni z opłacania składek na łączną kwotę 8,0 mld zł.</w:t>
      </w:r>
    </w:p>
    <w:p w:rsidR="007233C1" w:rsidRPr="008677C7" w:rsidRDefault="007233C1" w:rsidP="00D84DB0">
      <w:pPr>
        <w:spacing w:before="120"/>
        <w:jc w:val="both"/>
        <w:rPr>
          <w:sz w:val="24"/>
        </w:rPr>
      </w:pPr>
      <w:r w:rsidRPr="0034382A">
        <w:rPr>
          <w:sz w:val="24"/>
        </w:rPr>
        <w:t xml:space="preserve">Konsekwencje powyższego widać </w:t>
      </w:r>
      <w:bookmarkStart w:id="0" w:name="_GoBack"/>
      <w:bookmarkEnd w:id="0"/>
      <w:r w:rsidRPr="0034382A">
        <w:rPr>
          <w:sz w:val="24"/>
        </w:rPr>
        <w:t>w danych dotycząc</w:t>
      </w:r>
      <w:r w:rsidR="00F54610">
        <w:rPr>
          <w:sz w:val="24"/>
        </w:rPr>
        <w:t>ych wpływów ze składek, które w </w:t>
      </w:r>
      <w:r w:rsidR="006F2D52">
        <w:rPr>
          <w:sz w:val="24"/>
        </w:rPr>
        <w:t>omawianym okresie wyniosły 92</w:t>
      </w:r>
      <w:r w:rsidRPr="0034382A">
        <w:rPr>
          <w:sz w:val="24"/>
        </w:rPr>
        <w:t xml:space="preserve">,2 mld zł, stanowiąc 44,3% planu, i spadły o 6,4% r/r, przy czym tylko w II kwartale spadek ten wyniósł 20,5% r/r. </w:t>
      </w:r>
    </w:p>
    <w:p w:rsidR="007233C1" w:rsidRDefault="007233C1" w:rsidP="007233C1">
      <w:pPr>
        <w:keepNext/>
        <w:spacing w:after="0"/>
        <w:jc w:val="both"/>
      </w:pPr>
      <w:r w:rsidRPr="00D3226F">
        <w:rPr>
          <w:bCs/>
          <w:noProof/>
          <w:color w:val="000000"/>
          <w:lang w:eastAsia="pl-PL"/>
        </w:rPr>
        <w:drawing>
          <wp:inline distT="0" distB="0" distL="0" distR="0" wp14:anchorId="597D16ED" wp14:editId="2EE558DE">
            <wp:extent cx="5920740" cy="2270760"/>
            <wp:effectExtent l="0" t="0" r="381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33C1" w:rsidRDefault="007233C1" w:rsidP="007233C1">
      <w:pPr>
        <w:pStyle w:val="Legenda"/>
        <w:jc w:val="both"/>
      </w:pPr>
      <w:r w:rsidRPr="009F78B2">
        <w:rPr>
          <w:b/>
        </w:rPr>
        <w:t xml:space="preserve">Wykres </w:t>
      </w:r>
      <w:r w:rsidRPr="009F78B2">
        <w:rPr>
          <w:b/>
        </w:rPr>
        <w:fldChar w:fldCharType="begin"/>
      </w:r>
      <w:r w:rsidRPr="009F78B2">
        <w:rPr>
          <w:b/>
        </w:rPr>
        <w:instrText xml:space="preserve"> SEQ Wykres \* ARABIC </w:instrText>
      </w:r>
      <w:r w:rsidRPr="009F78B2">
        <w:rPr>
          <w:b/>
        </w:rPr>
        <w:fldChar w:fldCharType="separate"/>
      </w:r>
      <w:r>
        <w:rPr>
          <w:b/>
          <w:noProof/>
        </w:rPr>
        <w:t>2</w:t>
      </w:r>
      <w:r w:rsidRPr="009F78B2">
        <w:rPr>
          <w:b/>
        </w:rPr>
        <w:fldChar w:fldCharType="end"/>
      </w:r>
      <w:r w:rsidRPr="009F78B2">
        <w:rPr>
          <w:b/>
        </w:rPr>
        <w:t>.</w:t>
      </w:r>
      <w:r>
        <w:t xml:space="preserve"> Wpływy</w:t>
      </w:r>
      <w:r w:rsidRPr="00867FB5">
        <w:t xml:space="preserve"> składek na ubezpieczenia społeczne (w mld zł)</w:t>
      </w:r>
    </w:p>
    <w:p w:rsidR="000C1AF8" w:rsidRDefault="000C1AF8" w:rsidP="009F78B2">
      <w:pPr>
        <w:pStyle w:val="Legenda"/>
        <w:jc w:val="both"/>
      </w:pPr>
    </w:p>
    <w:p w:rsidR="002551FC" w:rsidRDefault="00D84DB0" w:rsidP="009E16EE">
      <w:pPr>
        <w:spacing w:after="240"/>
        <w:jc w:val="both"/>
        <w:rPr>
          <w:sz w:val="24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3E978421" wp14:editId="55B4B483">
            <wp:simplePos x="0" y="0"/>
            <wp:positionH relativeFrom="column">
              <wp:posOffset>3050540</wp:posOffset>
            </wp:positionH>
            <wp:positionV relativeFrom="margin">
              <wp:posOffset>1164590</wp:posOffset>
            </wp:positionV>
            <wp:extent cx="2933700" cy="2948940"/>
            <wp:effectExtent l="0" t="0" r="0" b="0"/>
            <wp:wrapSquare wrapText="bothSides"/>
            <wp:docPr id="2" name="Obiek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1FC" w:rsidRPr="008677C7">
        <w:rPr>
          <w:sz w:val="24"/>
        </w:rPr>
        <w:t xml:space="preserve">W okresie </w:t>
      </w:r>
      <w:r w:rsidR="00907221">
        <w:rPr>
          <w:sz w:val="24"/>
        </w:rPr>
        <w:t xml:space="preserve">sześciu </w:t>
      </w:r>
      <w:r w:rsidR="00681132">
        <w:rPr>
          <w:sz w:val="24"/>
        </w:rPr>
        <w:t>miesięcy</w:t>
      </w:r>
      <w:r w:rsidR="002551FC" w:rsidRPr="008677C7">
        <w:rPr>
          <w:sz w:val="24"/>
        </w:rPr>
        <w:t xml:space="preserve"> br. fundusz otrzymał dotację</w:t>
      </w:r>
      <w:r w:rsidR="00681132">
        <w:rPr>
          <w:sz w:val="24"/>
        </w:rPr>
        <w:t xml:space="preserve"> z budżetu państwa</w:t>
      </w:r>
      <w:r w:rsidR="002551FC" w:rsidRPr="008677C7">
        <w:rPr>
          <w:sz w:val="24"/>
        </w:rPr>
        <w:t xml:space="preserve"> w kwocie </w:t>
      </w:r>
      <w:r w:rsidR="00907221">
        <w:rPr>
          <w:sz w:val="24"/>
        </w:rPr>
        <w:t>20,1</w:t>
      </w:r>
      <w:r w:rsidR="002551FC" w:rsidRPr="008677C7">
        <w:rPr>
          <w:sz w:val="24"/>
        </w:rPr>
        <w:t> mld zł, co</w:t>
      </w:r>
      <w:r w:rsidR="006D280B" w:rsidRPr="008677C7">
        <w:rPr>
          <w:sz w:val="24"/>
        </w:rPr>
        <w:t> </w:t>
      </w:r>
      <w:r w:rsidR="002551FC" w:rsidRPr="008677C7">
        <w:rPr>
          <w:sz w:val="24"/>
        </w:rPr>
        <w:t xml:space="preserve">stanowi </w:t>
      </w:r>
      <w:r w:rsidR="00907221">
        <w:rPr>
          <w:sz w:val="24"/>
        </w:rPr>
        <w:t>60,0</w:t>
      </w:r>
      <w:r w:rsidR="002551FC" w:rsidRPr="008677C7">
        <w:rPr>
          <w:sz w:val="24"/>
        </w:rPr>
        <w:t>% planu.</w:t>
      </w:r>
      <w:r w:rsidR="007233C1" w:rsidRPr="007233C1">
        <w:rPr>
          <w:rFonts w:eastAsia="Japanese Gothic"/>
          <w:sz w:val="24"/>
          <w:szCs w:val="24"/>
        </w:rPr>
        <w:t xml:space="preserve"> </w:t>
      </w:r>
      <w:r w:rsidR="007233C1" w:rsidRPr="00EF38C1">
        <w:rPr>
          <w:rFonts w:eastAsia="Japanese Gothic"/>
          <w:sz w:val="24"/>
          <w:szCs w:val="24"/>
        </w:rPr>
        <w:t>Należy jednocześnie nadmienić, że od</w:t>
      </w:r>
      <w:r w:rsidR="007233C1">
        <w:rPr>
          <w:rFonts w:eastAsia="Japanese Gothic"/>
          <w:sz w:val="24"/>
          <w:szCs w:val="24"/>
        </w:rPr>
        <w:t xml:space="preserve"> </w:t>
      </w:r>
      <w:r w:rsidR="007233C1" w:rsidRPr="00EF38C1">
        <w:rPr>
          <w:rFonts w:eastAsia="Japanese Gothic"/>
          <w:sz w:val="24"/>
          <w:szCs w:val="24"/>
        </w:rPr>
        <w:t>2019 r. d</w:t>
      </w:r>
      <w:r w:rsidR="007233C1">
        <w:rPr>
          <w:rFonts w:eastAsia="Japanese Gothic"/>
          <w:sz w:val="24"/>
          <w:szCs w:val="24"/>
        </w:rPr>
        <w:t>otacja obejmuje środki, które w </w:t>
      </w:r>
      <w:r w:rsidR="007233C1" w:rsidRPr="00EF38C1">
        <w:rPr>
          <w:rFonts w:eastAsia="Japanese Gothic"/>
          <w:sz w:val="24"/>
          <w:szCs w:val="24"/>
        </w:rPr>
        <w:t xml:space="preserve">ubiegłych latach były wykazywane w pozycji refundacja składek </w:t>
      </w:r>
      <w:r w:rsidR="007233C1">
        <w:rPr>
          <w:rFonts w:eastAsia="Japanese Gothic"/>
          <w:sz w:val="24"/>
          <w:szCs w:val="24"/>
        </w:rPr>
        <w:t xml:space="preserve">przekazanych </w:t>
      </w:r>
      <w:r w:rsidR="007233C1" w:rsidRPr="00EF38C1">
        <w:rPr>
          <w:rFonts w:eastAsia="Japanese Gothic"/>
          <w:sz w:val="24"/>
          <w:szCs w:val="24"/>
        </w:rPr>
        <w:t>do OFE.</w:t>
      </w:r>
      <w:r w:rsidR="002551FC" w:rsidRPr="008677C7" w:rsidDel="0052662F">
        <w:rPr>
          <w:sz w:val="24"/>
        </w:rPr>
        <w:t xml:space="preserve"> </w:t>
      </w:r>
    </w:p>
    <w:p w:rsidR="007233C1" w:rsidRPr="007642D1" w:rsidRDefault="007233C1" w:rsidP="009E16EE">
      <w:pPr>
        <w:spacing w:after="240"/>
        <w:jc w:val="both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2AEF9" wp14:editId="17CF6F82">
                <wp:simplePos x="0" y="0"/>
                <wp:positionH relativeFrom="column">
                  <wp:posOffset>3140710</wp:posOffset>
                </wp:positionH>
                <wp:positionV relativeFrom="paragraph">
                  <wp:posOffset>2513965</wp:posOffset>
                </wp:positionV>
                <wp:extent cx="2846705" cy="309880"/>
                <wp:effectExtent l="0" t="0" r="0" b="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3098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0BB3" w:rsidRPr="00E97C8B" w:rsidRDefault="00470BB3" w:rsidP="00470BB3">
                            <w:pPr>
                              <w:pStyle w:val="Legenda"/>
                              <w:rPr>
                                <w:rFonts w:eastAsia="Japanese Gothic"/>
                                <w:b/>
                                <w:noProof/>
                              </w:rPr>
                            </w:pPr>
                            <w:r w:rsidRPr="00470BB3">
                              <w:rPr>
                                <w:b/>
                              </w:rPr>
                              <w:t xml:space="preserve">Wykres </w:t>
                            </w:r>
                            <w:r w:rsidRPr="00470BB3">
                              <w:rPr>
                                <w:b/>
                              </w:rPr>
                              <w:fldChar w:fldCharType="begin"/>
                            </w:r>
                            <w:r w:rsidRPr="00470BB3">
                              <w:rPr>
                                <w:b/>
                              </w:rPr>
                              <w:instrText xml:space="preserve"> SEQ Wykres \* ARABIC </w:instrText>
                            </w:r>
                            <w:r w:rsidRPr="00470BB3">
                              <w:rPr>
                                <w:b/>
                              </w:rPr>
                              <w:fldChar w:fldCharType="separate"/>
                            </w:r>
                            <w:r w:rsidR="00333756">
                              <w:rPr>
                                <w:b/>
                                <w:noProof/>
                              </w:rPr>
                              <w:t>3</w:t>
                            </w:r>
                            <w:r w:rsidRPr="00470BB3">
                              <w:rPr>
                                <w:b/>
                              </w:rPr>
                              <w:fldChar w:fldCharType="end"/>
                            </w:r>
                            <w:r w:rsidRPr="00470BB3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Pr="007A7072">
                              <w:t xml:space="preserve">Struktura przychodów FUS </w:t>
                            </w:r>
                            <w:r w:rsidR="003B1B3A">
                              <w:t xml:space="preserve">po </w:t>
                            </w:r>
                            <w:r w:rsidR="00B96EE8">
                              <w:t>pierwszym</w:t>
                            </w:r>
                            <w:r w:rsidR="003B1B3A">
                              <w:t xml:space="preserve"> </w:t>
                            </w:r>
                            <w:r w:rsidR="0076686F">
                              <w:t>półroczu</w:t>
                            </w:r>
                            <w:r w:rsidR="0076686F" w:rsidRPr="007A7072">
                              <w:t xml:space="preserve"> </w:t>
                            </w:r>
                            <w:r w:rsidRPr="007A7072">
                              <w:t>20</w:t>
                            </w:r>
                            <w:r w:rsidR="00B96EE8">
                              <w:t>20</w:t>
                            </w:r>
                            <w:r>
                              <w:t> </w:t>
                            </w:r>
                            <w:r w:rsidRPr="007A7072">
                              <w:t>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12AEF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7.3pt;margin-top:197.95pt;width:224.15pt;height:24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" stroked="f">
                <v:textbox inset="0,0,0,0">
                  <w:txbxContent>
                    <w:p w:rsidR="00470BB3" w:rsidRPr="00E97C8B" w:rsidRDefault="00470BB3" w:rsidP="00470BB3">
                      <w:pPr>
                        <w:pStyle w:val="Legenda"/>
                        <w:rPr>
                          <w:rFonts w:eastAsia="Japanese Gothic"/>
                          <w:b/>
                          <w:noProof/>
                        </w:rPr>
                      </w:pPr>
                      <w:r w:rsidRPr="00470BB3">
                        <w:rPr>
                          <w:b/>
                        </w:rPr>
                        <w:t xml:space="preserve">Wykres </w:t>
                      </w:r>
                      <w:r w:rsidRPr="00470BB3">
                        <w:rPr>
                          <w:b/>
                        </w:rPr>
                        <w:fldChar w:fldCharType="begin"/>
                      </w:r>
                      <w:r w:rsidRPr="00470BB3">
                        <w:rPr>
                          <w:b/>
                        </w:rPr>
                        <w:instrText xml:space="preserve"> SEQ Wykres \* ARABIC </w:instrText>
                      </w:r>
                      <w:r w:rsidRPr="00470BB3">
                        <w:rPr>
                          <w:b/>
                        </w:rPr>
                        <w:fldChar w:fldCharType="separate"/>
                      </w:r>
                      <w:r w:rsidR="00333756">
                        <w:rPr>
                          <w:b/>
                          <w:noProof/>
                        </w:rPr>
                        <w:t>3</w:t>
                      </w:r>
                      <w:r w:rsidRPr="00470BB3">
                        <w:rPr>
                          <w:b/>
                        </w:rPr>
                        <w:fldChar w:fldCharType="end"/>
                      </w:r>
                      <w:r w:rsidRPr="00470BB3">
                        <w:rPr>
                          <w:b/>
                        </w:rPr>
                        <w:t>.</w:t>
                      </w:r>
                      <w:r>
                        <w:t xml:space="preserve"> </w:t>
                      </w:r>
                      <w:r w:rsidRPr="007A7072">
                        <w:t xml:space="preserve">Struktura przychodów FUS </w:t>
                      </w:r>
                      <w:r w:rsidR="003B1B3A">
                        <w:t xml:space="preserve">po </w:t>
                      </w:r>
                      <w:r w:rsidR="00B96EE8">
                        <w:t>pierwszym</w:t>
                      </w:r>
                      <w:r w:rsidR="003B1B3A">
                        <w:t xml:space="preserve"> </w:t>
                      </w:r>
                      <w:r w:rsidR="0076686F">
                        <w:t>półroczu</w:t>
                      </w:r>
                      <w:r w:rsidR="0076686F" w:rsidRPr="007A7072">
                        <w:t xml:space="preserve"> </w:t>
                      </w:r>
                      <w:r w:rsidRPr="007A7072">
                        <w:t>20</w:t>
                      </w:r>
                      <w:r w:rsidR="00B96EE8">
                        <w:t>20</w:t>
                      </w:r>
                      <w:r>
                        <w:t> </w:t>
                      </w:r>
                      <w:r w:rsidRPr="007A7072">
                        <w:t>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496A">
        <w:rPr>
          <w:rFonts w:eastAsia="Japanese Gothic"/>
          <w:sz w:val="24"/>
          <w:szCs w:val="24"/>
        </w:rPr>
        <w:t>Ponadto od maja br. FUS korzystał ze środków z Funduszu Przeciwdziałania COVID-19</w:t>
      </w:r>
      <w:r>
        <w:rPr>
          <w:rFonts w:eastAsia="Japanese Gothic"/>
          <w:sz w:val="24"/>
          <w:szCs w:val="24"/>
        </w:rPr>
        <w:t xml:space="preserve"> </w:t>
      </w:r>
      <w:r w:rsidRPr="008C496A">
        <w:rPr>
          <w:rFonts w:eastAsia="Japanese Gothic"/>
          <w:sz w:val="24"/>
          <w:szCs w:val="24"/>
        </w:rPr>
        <w:t>w łącznej kwocie 16,6 mld zł. Środki te, zgodnie z ustawą z dnia 2 marca 2020 r. o szczególnych rozwiązaniach związanych z zapobieganiem, przeciwdziałaniem i zwalczaniem COVID-19, innych chorób zakaźnych oraz wywołanych nimi sytuacji kryzysowych</w:t>
      </w:r>
      <w:r>
        <w:rPr>
          <w:rFonts w:eastAsia="Japanese Gothic"/>
          <w:sz w:val="24"/>
          <w:szCs w:val="24"/>
        </w:rPr>
        <w:t>,</w:t>
      </w:r>
      <w:r w:rsidRPr="008C496A">
        <w:rPr>
          <w:rFonts w:eastAsia="Japanese Gothic"/>
          <w:sz w:val="24"/>
          <w:szCs w:val="24"/>
        </w:rPr>
        <w:t xml:space="preserve"> zostały wykorzystane na sfinansowanie negatywnych skutków społeczno-gospodarczych epidemii COVID-19, w tym m.in. pokrycia ubytków składek wynikających z pogorszenia sytuacji makroekonomicznej oraz zwolnienia niektórych płatników z obowiązku opłacania należności z tytułu składek.</w:t>
      </w:r>
    </w:p>
    <w:p w:rsidR="007233C1" w:rsidRDefault="007233C1" w:rsidP="007233C1">
      <w:pPr>
        <w:spacing w:before="240" w:after="240"/>
        <w:jc w:val="both"/>
        <w:rPr>
          <w:sz w:val="24"/>
        </w:rPr>
      </w:pPr>
      <w:r w:rsidRPr="008677C7">
        <w:rPr>
          <w:sz w:val="24"/>
        </w:rPr>
        <w:t xml:space="preserve">Wpłaty z OFE, tj. środki przekazane do funduszu emerytalnego w związku z ukończeniem przez ubezpieczonego wieku niższego o 10 lat od wieku </w:t>
      </w:r>
      <w:r w:rsidRPr="009E16EE">
        <w:rPr>
          <w:sz w:val="24"/>
        </w:rPr>
        <w:t>emerytalnego (tzw. suwak) ukształtowały</w:t>
      </w:r>
      <w:r w:rsidRPr="008677C7">
        <w:rPr>
          <w:sz w:val="24"/>
        </w:rPr>
        <w:t xml:space="preserve"> się </w:t>
      </w:r>
      <w:r>
        <w:rPr>
          <w:sz w:val="24"/>
        </w:rPr>
        <w:t>na poziomie 2,9</w:t>
      </w:r>
      <w:r w:rsidRPr="008677C7">
        <w:rPr>
          <w:sz w:val="24"/>
        </w:rPr>
        <w:t xml:space="preserve"> mld zł, co stanowi </w:t>
      </w:r>
      <w:r w:rsidRPr="0034382A">
        <w:rPr>
          <w:sz w:val="24"/>
        </w:rPr>
        <w:t>58,6% planu</w:t>
      </w:r>
      <w:r w:rsidRPr="003B1B3A">
        <w:rPr>
          <w:sz w:val="24"/>
        </w:rPr>
        <w:t>. Były one niższe od</w:t>
      </w:r>
      <w:r>
        <w:rPr>
          <w:sz w:val="24"/>
        </w:rPr>
        <w:t> </w:t>
      </w:r>
      <w:r w:rsidRPr="003B1B3A">
        <w:rPr>
          <w:spacing w:val="-4"/>
          <w:sz w:val="24"/>
        </w:rPr>
        <w:t>przekazanych w</w:t>
      </w:r>
      <w:r>
        <w:rPr>
          <w:spacing w:val="-4"/>
          <w:sz w:val="24"/>
        </w:rPr>
        <w:t> </w:t>
      </w:r>
      <w:r w:rsidRPr="003B1B3A">
        <w:rPr>
          <w:spacing w:val="-4"/>
          <w:sz w:val="24"/>
        </w:rPr>
        <w:t>okresie styczeń–</w:t>
      </w:r>
      <w:r>
        <w:rPr>
          <w:spacing w:val="-4"/>
          <w:sz w:val="24"/>
        </w:rPr>
        <w:t>czerwiec</w:t>
      </w:r>
      <w:r w:rsidRPr="008677C7">
        <w:rPr>
          <w:sz w:val="24"/>
        </w:rPr>
        <w:t xml:space="preserve"> 201</w:t>
      </w:r>
      <w:r>
        <w:rPr>
          <w:sz w:val="24"/>
        </w:rPr>
        <w:t>9</w:t>
      </w:r>
      <w:r w:rsidRPr="008677C7">
        <w:rPr>
          <w:sz w:val="24"/>
        </w:rPr>
        <w:t xml:space="preserve"> r. o </w:t>
      </w:r>
      <w:r>
        <w:rPr>
          <w:sz w:val="24"/>
        </w:rPr>
        <w:t>18,5</w:t>
      </w:r>
      <w:r w:rsidRPr="008677C7">
        <w:rPr>
          <w:sz w:val="24"/>
        </w:rPr>
        <w:t>%</w:t>
      </w:r>
      <w:r>
        <w:rPr>
          <w:sz w:val="24"/>
        </w:rPr>
        <w:t xml:space="preserve">. </w:t>
      </w:r>
      <w:r w:rsidRPr="005B05CF">
        <w:rPr>
          <w:rFonts w:eastAsia="Japanese Gothic"/>
          <w:sz w:val="24"/>
          <w:szCs w:val="24"/>
        </w:rPr>
        <w:t>Wynika to z faktu, że w 2019 r. były przekaz</w:t>
      </w:r>
      <w:r w:rsidR="00E9171E">
        <w:rPr>
          <w:rFonts w:eastAsia="Japanese Gothic"/>
          <w:sz w:val="24"/>
          <w:szCs w:val="24"/>
        </w:rPr>
        <w:t>ywane środki za </w:t>
      </w:r>
      <w:r w:rsidRPr="005B05CF">
        <w:rPr>
          <w:rFonts w:eastAsia="Japanese Gothic"/>
          <w:sz w:val="24"/>
          <w:szCs w:val="24"/>
        </w:rPr>
        <w:t>roczniki, które miały zgromadzone w OFE stosun</w:t>
      </w:r>
      <w:r>
        <w:rPr>
          <w:rFonts w:eastAsia="Japanese Gothic"/>
          <w:sz w:val="24"/>
          <w:szCs w:val="24"/>
        </w:rPr>
        <w:t>kowo duże kapitały i osiągały w </w:t>
      </w:r>
      <w:r w:rsidRPr="005B05CF">
        <w:rPr>
          <w:rFonts w:eastAsia="Japanese Gothic"/>
          <w:sz w:val="24"/>
          <w:szCs w:val="24"/>
        </w:rPr>
        <w:t>trakcie roku wiek emerytalny, a także pogorszenia koniunktury na</w:t>
      </w:r>
      <w:r>
        <w:rPr>
          <w:rFonts w:eastAsia="Japanese Gothic"/>
          <w:sz w:val="24"/>
          <w:szCs w:val="24"/>
        </w:rPr>
        <w:t> </w:t>
      </w:r>
      <w:r w:rsidRPr="005B05CF">
        <w:rPr>
          <w:rFonts w:eastAsia="Japanese Gothic"/>
          <w:sz w:val="24"/>
          <w:szCs w:val="24"/>
        </w:rPr>
        <w:t>rynkach akcji, co przekłada się na niższe wyceny aktywów OFE.</w:t>
      </w:r>
      <w:r w:rsidRPr="008677C7">
        <w:rPr>
          <w:sz w:val="24"/>
        </w:rPr>
        <w:t xml:space="preserve"> </w:t>
      </w:r>
    </w:p>
    <w:p w:rsidR="00B07373" w:rsidRPr="00F7796F" w:rsidRDefault="007233C1" w:rsidP="00B07373">
      <w:pPr>
        <w:pStyle w:val="Tekstpodstawowy3"/>
        <w:widowControl w:val="0"/>
        <w:spacing w:before="120" w:after="0" w:line="276" w:lineRule="auto"/>
        <w:jc w:val="both"/>
        <w:rPr>
          <w:rFonts w:asciiTheme="minorHAnsi" w:eastAsia="Japanese Gothic" w:hAnsiTheme="minorHAnsi"/>
          <w:kern w:val="0"/>
          <w:sz w:val="24"/>
          <w:szCs w:val="24"/>
        </w:rPr>
      </w:pPr>
      <w:r w:rsidRPr="00F7796F">
        <w:rPr>
          <w:rFonts w:asciiTheme="minorHAnsi" w:eastAsia="Japanese Gothic" w:hAnsiTheme="minorHAnsi"/>
          <w:kern w:val="0"/>
          <w:sz w:val="24"/>
          <w:szCs w:val="24"/>
        </w:rPr>
        <w:t xml:space="preserve">Na koniec </w:t>
      </w:r>
      <w:r w:rsidRPr="00460520">
        <w:rPr>
          <w:rFonts w:asciiTheme="minorHAnsi" w:eastAsia="Japanese Gothic" w:hAnsiTheme="minorHAnsi"/>
          <w:kern w:val="0"/>
          <w:sz w:val="24"/>
          <w:szCs w:val="24"/>
        </w:rPr>
        <w:t xml:space="preserve">czerwca </w:t>
      </w:r>
      <w:r w:rsidRPr="00F7796F">
        <w:rPr>
          <w:rFonts w:asciiTheme="minorHAnsi" w:eastAsia="Japanese Gothic" w:hAnsiTheme="minorHAnsi"/>
          <w:kern w:val="0"/>
          <w:sz w:val="24"/>
          <w:szCs w:val="24"/>
        </w:rPr>
        <w:t xml:space="preserve">2020 roku w ZUS było zarejestrowanych </w:t>
      </w:r>
      <w:r w:rsidR="00E9171E">
        <w:rPr>
          <w:rFonts w:asciiTheme="minorHAnsi" w:eastAsia="Japanese Gothic" w:hAnsiTheme="minorHAnsi"/>
          <w:kern w:val="0"/>
          <w:sz w:val="24"/>
          <w:szCs w:val="24"/>
        </w:rPr>
        <w:t>605 </w:t>
      </w:r>
      <w:r w:rsidRPr="00460520">
        <w:rPr>
          <w:rFonts w:asciiTheme="minorHAnsi" w:eastAsia="Japanese Gothic" w:hAnsiTheme="minorHAnsi"/>
          <w:kern w:val="0"/>
          <w:sz w:val="24"/>
          <w:szCs w:val="24"/>
        </w:rPr>
        <w:t xml:space="preserve">433 </w:t>
      </w:r>
      <w:r w:rsidRPr="00F7796F">
        <w:rPr>
          <w:rFonts w:asciiTheme="minorHAnsi" w:eastAsia="Japanese Gothic" w:hAnsiTheme="minorHAnsi"/>
          <w:kern w:val="0"/>
          <w:sz w:val="24"/>
          <w:szCs w:val="24"/>
        </w:rPr>
        <w:t>obcokrajowców</w:t>
      </w:r>
      <w:r w:rsidRPr="00F7796F">
        <w:rPr>
          <w:rStyle w:val="Odwoanieprzypisudolnego"/>
          <w:rFonts w:asciiTheme="minorHAnsi" w:eastAsia="Japanese Gothic" w:hAnsiTheme="minorHAnsi"/>
          <w:kern w:val="0"/>
          <w:sz w:val="24"/>
          <w:szCs w:val="24"/>
        </w:rPr>
        <w:footnoteReference w:id="1"/>
      </w:r>
      <w:r w:rsidRPr="00F7796F">
        <w:rPr>
          <w:rFonts w:asciiTheme="minorHAnsi" w:eastAsia="Japanese Gothic" w:hAnsiTheme="minorHAnsi"/>
          <w:kern w:val="0"/>
          <w:sz w:val="24"/>
          <w:szCs w:val="24"/>
        </w:rPr>
        <w:t xml:space="preserve">, co oznacza </w:t>
      </w:r>
      <w:r w:rsidRPr="00460520">
        <w:rPr>
          <w:rFonts w:asciiTheme="minorHAnsi" w:eastAsia="Japanese Gothic" w:hAnsiTheme="minorHAnsi"/>
          <w:kern w:val="0"/>
          <w:sz w:val="24"/>
          <w:szCs w:val="24"/>
        </w:rPr>
        <w:t xml:space="preserve">spadek o 6,0% </w:t>
      </w:r>
      <w:r w:rsidRPr="00F7796F">
        <w:rPr>
          <w:rFonts w:asciiTheme="minorHAnsi" w:eastAsia="Japanese Gothic" w:hAnsiTheme="minorHAnsi"/>
          <w:kern w:val="0"/>
          <w:sz w:val="24"/>
          <w:szCs w:val="24"/>
        </w:rPr>
        <w:t xml:space="preserve">w stosunku do analogicznego okresu poprzedniego roku oraz </w:t>
      </w:r>
      <w:r w:rsidRPr="00460520">
        <w:rPr>
          <w:rFonts w:asciiTheme="minorHAnsi" w:eastAsia="Japanese Gothic" w:hAnsiTheme="minorHAnsi"/>
          <w:kern w:val="0"/>
          <w:sz w:val="24"/>
          <w:szCs w:val="24"/>
        </w:rPr>
        <w:t xml:space="preserve">spadek o 8,6% </w:t>
      </w:r>
      <w:r w:rsidRPr="00F7796F">
        <w:rPr>
          <w:rFonts w:asciiTheme="minorHAnsi" w:eastAsia="Japanese Gothic" w:hAnsiTheme="minorHAnsi"/>
          <w:kern w:val="0"/>
          <w:sz w:val="24"/>
          <w:szCs w:val="24"/>
        </w:rPr>
        <w:t xml:space="preserve">w stosunku do stanu na koniec </w:t>
      </w:r>
      <w:r w:rsidRPr="00460520">
        <w:rPr>
          <w:rFonts w:asciiTheme="minorHAnsi" w:eastAsia="Japanese Gothic" w:hAnsiTheme="minorHAnsi"/>
          <w:kern w:val="0"/>
          <w:sz w:val="24"/>
          <w:szCs w:val="24"/>
        </w:rPr>
        <w:t>marca 2020 r.</w:t>
      </w:r>
      <w:r w:rsidRPr="00F7796F">
        <w:rPr>
          <w:rFonts w:asciiTheme="minorHAnsi" w:eastAsia="Japanese Gothic" w:hAnsiTheme="minorHAnsi"/>
          <w:kern w:val="0"/>
          <w:sz w:val="24"/>
          <w:szCs w:val="24"/>
        </w:rPr>
        <w:t xml:space="preserve"> W liczbie tej </w:t>
      </w:r>
      <w:r w:rsidRPr="00460520">
        <w:rPr>
          <w:rFonts w:asciiTheme="minorHAnsi" w:eastAsia="Japanese Gothic" w:hAnsiTheme="minorHAnsi"/>
          <w:kern w:val="0"/>
          <w:sz w:val="24"/>
          <w:szCs w:val="24"/>
        </w:rPr>
        <w:t>62,6%</w:t>
      </w:r>
      <w:r>
        <w:rPr>
          <w:rFonts w:asciiTheme="minorHAnsi" w:eastAsia="Japanese Gothic" w:hAnsiTheme="minorHAnsi"/>
          <w:kern w:val="0"/>
          <w:sz w:val="24"/>
          <w:szCs w:val="24"/>
        </w:rPr>
        <w:t xml:space="preserve"> </w:t>
      </w:r>
      <w:r w:rsidRPr="00F7796F">
        <w:rPr>
          <w:rFonts w:asciiTheme="minorHAnsi" w:eastAsia="Japanese Gothic" w:hAnsiTheme="minorHAnsi"/>
          <w:kern w:val="0"/>
          <w:sz w:val="24"/>
          <w:szCs w:val="24"/>
        </w:rPr>
        <w:t xml:space="preserve">osób było pracownikami, </w:t>
      </w:r>
      <w:r w:rsidRPr="00460520">
        <w:rPr>
          <w:rFonts w:asciiTheme="minorHAnsi" w:eastAsia="Japanese Gothic" w:hAnsiTheme="minorHAnsi"/>
          <w:kern w:val="0"/>
          <w:sz w:val="24"/>
          <w:szCs w:val="24"/>
        </w:rPr>
        <w:t xml:space="preserve">3,4% </w:t>
      </w:r>
      <w:r w:rsidRPr="00F7796F">
        <w:rPr>
          <w:rFonts w:asciiTheme="minorHAnsi" w:eastAsia="Japanese Gothic" w:hAnsiTheme="minorHAnsi"/>
          <w:kern w:val="0"/>
          <w:sz w:val="24"/>
          <w:szCs w:val="24"/>
        </w:rPr>
        <w:t xml:space="preserve"> prowadziło działalność gospodarczą, a pozostali byli objęci innymi formami zatrudnienia. Największą grupę (</w:t>
      </w:r>
      <w:r w:rsidRPr="00955231">
        <w:rPr>
          <w:rFonts w:asciiTheme="minorHAnsi" w:eastAsia="Japanese Gothic" w:hAnsiTheme="minorHAnsi"/>
          <w:kern w:val="0"/>
          <w:sz w:val="24"/>
          <w:szCs w:val="24"/>
        </w:rPr>
        <w:t>71,6%</w:t>
      </w:r>
      <w:r w:rsidRPr="00F7796F">
        <w:rPr>
          <w:rFonts w:asciiTheme="minorHAnsi" w:eastAsia="Japanese Gothic" w:hAnsiTheme="minorHAnsi"/>
          <w:kern w:val="0"/>
          <w:sz w:val="24"/>
          <w:szCs w:val="24"/>
        </w:rPr>
        <w:t xml:space="preserve">) stanowili obywatele Ukrainy – w </w:t>
      </w:r>
      <w:r>
        <w:rPr>
          <w:rFonts w:asciiTheme="minorHAnsi" w:eastAsia="Japanese Gothic" w:hAnsiTheme="minorHAnsi"/>
          <w:kern w:val="0"/>
          <w:sz w:val="24"/>
          <w:szCs w:val="24"/>
        </w:rPr>
        <w:t>drugim</w:t>
      </w:r>
      <w:r w:rsidRPr="00F7796F">
        <w:rPr>
          <w:rFonts w:asciiTheme="minorHAnsi" w:eastAsia="Japanese Gothic" w:hAnsiTheme="minorHAnsi"/>
          <w:kern w:val="0"/>
          <w:sz w:val="24"/>
          <w:szCs w:val="24"/>
        </w:rPr>
        <w:t xml:space="preserve"> kwartale ich liczba wyniosła </w:t>
      </w:r>
      <w:r w:rsidRPr="00955231">
        <w:rPr>
          <w:rFonts w:asciiTheme="minorHAnsi" w:eastAsia="Japanese Gothic" w:hAnsiTheme="minorHAnsi"/>
          <w:kern w:val="0"/>
          <w:sz w:val="24"/>
          <w:szCs w:val="24"/>
        </w:rPr>
        <w:t xml:space="preserve">433 497 </w:t>
      </w:r>
      <w:r w:rsidRPr="00F7796F">
        <w:rPr>
          <w:rFonts w:asciiTheme="minorHAnsi" w:eastAsia="Japanese Gothic" w:hAnsiTheme="minorHAnsi"/>
          <w:kern w:val="0"/>
          <w:sz w:val="24"/>
          <w:szCs w:val="24"/>
        </w:rPr>
        <w:t xml:space="preserve">osób, tj. o </w:t>
      </w:r>
      <w:r w:rsidRPr="00955231">
        <w:rPr>
          <w:rFonts w:asciiTheme="minorHAnsi" w:eastAsia="Japanese Gothic" w:hAnsiTheme="minorHAnsi"/>
          <w:kern w:val="0"/>
          <w:sz w:val="24"/>
          <w:szCs w:val="24"/>
        </w:rPr>
        <w:t xml:space="preserve">10,3% mniej </w:t>
      </w:r>
      <w:r w:rsidRPr="00F7796F">
        <w:rPr>
          <w:rFonts w:asciiTheme="minorHAnsi" w:eastAsia="Japanese Gothic" w:hAnsiTheme="minorHAnsi"/>
          <w:kern w:val="0"/>
          <w:sz w:val="24"/>
          <w:szCs w:val="24"/>
        </w:rPr>
        <w:t>niż w analogicznym okresie 2019</w:t>
      </w:r>
      <w:r>
        <w:rPr>
          <w:rFonts w:asciiTheme="minorHAnsi" w:eastAsia="Japanese Gothic" w:hAnsiTheme="minorHAnsi"/>
          <w:kern w:val="0"/>
          <w:sz w:val="24"/>
          <w:szCs w:val="24"/>
        </w:rPr>
        <w:t> </w:t>
      </w:r>
      <w:r w:rsidRPr="00F7796F">
        <w:rPr>
          <w:rFonts w:asciiTheme="minorHAnsi" w:eastAsia="Japanese Gothic" w:hAnsiTheme="minorHAnsi"/>
          <w:kern w:val="0"/>
          <w:sz w:val="24"/>
          <w:szCs w:val="24"/>
        </w:rPr>
        <w:t xml:space="preserve">r. oraz o </w:t>
      </w:r>
      <w:r w:rsidRPr="00955231">
        <w:rPr>
          <w:rFonts w:asciiTheme="minorHAnsi" w:eastAsia="Japanese Gothic" w:hAnsiTheme="minorHAnsi"/>
          <w:kern w:val="0"/>
          <w:sz w:val="24"/>
          <w:szCs w:val="24"/>
        </w:rPr>
        <w:t>10,6% mniej niż w pierwszym kwartale 2020 r.</w:t>
      </w:r>
      <w:r>
        <w:rPr>
          <w:rFonts w:asciiTheme="minorHAnsi" w:eastAsia="Japanese Gothic" w:hAnsiTheme="minorHAnsi"/>
          <w:kern w:val="0"/>
          <w:sz w:val="24"/>
          <w:szCs w:val="24"/>
        </w:rPr>
        <w:t xml:space="preserve"> S</w:t>
      </w:r>
      <w:r w:rsidRPr="00955231">
        <w:rPr>
          <w:rFonts w:asciiTheme="minorHAnsi" w:eastAsia="Japanese Gothic" w:hAnsiTheme="minorHAnsi"/>
          <w:kern w:val="0"/>
          <w:sz w:val="24"/>
          <w:szCs w:val="24"/>
        </w:rPr>
        <w:t>padek liczby obywateli Ukrainy w Polsce był spowodowany pandemią COVID-19 (m.in. zamknięcie granic,</w:t>
      </w:r>
      <w:r>
        <w:rPr>
          <w:rFonts w:asciiTheme="minorHAnsi" w:eastAsia="Japanese Gothic" w:hAnsiTheme="minorHAnsi"/>
          <w:kern w:val="0"/>
          <w:sz w:val="24"/>
          <w:szCs w:val="24"/>
        </w:rPr>
        <w:t xml:space="preserve"> utrata pracy, </w:t>
      </w:r>
      <w:r w:rsidRPr="00955231">
        <w:rPr>
          <w:rFonts w:asciiTheme="minorHAnsi" w:eastAsia="Japanese Gothic" w:hAnsiTheme="minorHAnsi"/>
          <w:kern w:val="0"/>
          <w:sz w:val="24"/>
          <w:szCs w:val="24"/>
        </w:rPr>
        <w:t>powrót do rodziny).</w:t>
      </w:r>
    </w:p>
    <w:p w:rsidR="007233C1" w:rsidRDefault="007233C1" w:rsidP="00D22758">
      <w:pPr>
        <w:pStyle w:val="Legenda"/>
        <w:jc w:val="both"/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0BF59B08" wp14:editId="68493C59">
            <wp:extent cx="5905500" cy="236982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280B" w:rsidRDefault="009F78B2" w:rsidP="00D22758">
      <w:pPr>
        <w:pStyle w:val="Legenda"/>
        <w:jc w:val="both"/>
        <w:rPr>
          <w:sz w:val="20"/>
        </w:rPr>
      </w:pPr>
      <w:r w:rsidRPr="009F78B2">
        <w:rPr>
          <w:b/>
        </w:rPr>
        <w:t xml:space="preserve">Wykres </w:t>
      </w:r>
      <w:r w:rsidRPr="009F78B2">
        <w:rPr>
          <w:b/>
        </w:rPr>
        <w:fldChar w:fldCharType="begin"/>
      </w:r>
      <w:r w:rsidRPr="009F78B2">
        <w:rPr>
          <w:b/>
        </w:rPr>
        <w:instrText xml:space="preserve"> SEQ Wykres \* ARABIC </w:instrText>
      </w:r>
      <w:r w:rsidRPr="009F78B2">
        <w:rPr>
          <w:b/>
        </w:rPr>
        <w:fldChar w:fldCharType="separate"/>
      </w:r>
      <w:r w:rsidR="00333756">
        <w:rPr>
          <w:b/>
          <w:noProof/>
        </w:rPr>
        <w:t>4</w:t>
      </w:r>
      <w:r w:rsidRPr="009F78B2">
        <w:rPr>
          <w:b/>
        </w:rPr>
        <w:fldChar w:fldCharType="end"/>
      </w:r>
      <w:r w:rsidRPr="009F78B2">
        <w:rPr>
          <w:b/>
        </w:rPr>
        <w:t>.</w:t>
      </w:r>
      <w:r>
        <w:t xml:space="preserve"> </w:t>
      </w:r>
      <w:r w:rsidRPr="00A92278">
        <w:t>Liczba cudzoziemców zarejestrowanych w ZUS (na koniec okresu)</w:t>
      </w:r>
    </w:p>
    <w:p w:rsidR="00A3238E" w:rsidRPr="00D3226F" w:rsidRDefault="00FD07E5" w:rsidP="007C228E">
      <w:pPr>
        <w:spacing w:before="360" w:after="120"/>
        <w:jc w:val="both"/>
        <w:rPr>
          <w:b/>
          <w:sz w:val="28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6432" behindDoc="0" locked="0" layoutInCell="1" allowOverlap="1" wp14:anchorId="0C3B1F65" wp14:editId="53302528">
            <wp:simplePos x="0" y="0"/>
            <wp:positionH relativeFrom="column">
              <wp:posOffset>3053715</wp:posOffset>
            </wp:positionH>
            <wp:positionV relativeFrom="paragraph">
              <wp:posOffset>163830</wp:posOffset>
            </wp:positionV>
            <wp:extent cx="2847975" cy="2075815"/>
            <wp:effectExtent l="0" t="0" r="0" b="0"/>
            <wp:wrapSquare wrapText="bothSides"/>
            <wp:docPr id="16" name="Obiek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527E86" w:rsidRPr="00D3226F">
        <w:rPr>
          <w:b/>
          <w:sz w:val="28"/>
        </w:rPr>
        <w:t>Koszty</w:t>
      </w:r>
    </w:p>
    <w:p w:rsidR="00FD07E5" w:rsidRDefault="00F54EC0" w:rsidP="00F54EC0">
      <w:pPr>
        <w:spacing w:before="120" w:after="0"/>
        <w:jc w:val="both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E4399" wp14:editId="33443D25">
                <wp:simplePos x="0" y="0"/>
                <wp:positionH relativeFrom="column">
                  <wp:posOffset>3101975</wp:posOffset>
                </wp:positionH>
                <wp:positionV relativeFrom="paragraph">
                  <wp:posOffset>1692275</wp:posOffset>
                </wp:positionV>
                <wp:extent cx="2360930" cy="421005"/>
                <wp:effectExtent l="0" t="0" r="1270" b="0"/>
                <wp:wrapSquare wrapText="bothSides"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4210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2BD5" w:rsidRPr="003A7455" w:rsidRDefault="004D2BD5" w:rsidP="004D2BD5">
                            <w:pPr>
                              <w:pStyle w:val="Legenda"/>
                              <w:rPr>
                                <w:rFonts w:eastAsia="Japanese Gothic"/>
                                <w:b/>
                                <w:noProof/>
                              </w:rPr>
                            </w:pPr>
                            <w:r w:rsidRPr="007C228E">
                              <w:rPr>
                                <w:b/>
                              </w:rPr>
                              <w:t xml:space="preserve">Wykres </w:t>
                            </w:r>
                            <w:r w:rsidRPr="007C228E">
                              <w:rPr>
                                <w:b/>
                              </w:rPr>
                              <w:fldChar w:fldCharType="begin"/>
                            </w:r>
                            <w:r w:rsidRPr="007C228E">
                              <w:rPr>
                                <w:b/>
                              </w:rPr>
                              <w:instrText xml:space="preserve"> SEQ Wykres \* ARABIC </w:instrText>
                            </w:r>
                            <w:r w:rsidRPr="007C228E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5</w:t>
                            </w:r>
                            <w:r w:rsidRPr="007C228E">
                              <w:rPr>
                                <w:b/>
                              </w:rPr>
                              <w:fldChar w:fldCharType="end"/>
                            </w:r>
                            <w:r w:rsidRPr="007C228E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Pr="0036172B">
                              <w:t xml:space="preserve">Struktura kosztów FUS </w:t>
                            </w:r>
                            <w:r>
                              <w:t xml:space="preserve">po pierwszym </w:t>
                            </w:r>
                            <w:r w:rsidR="00F54EC0">
                              <w:t>półroczu</w:t>
                            </w:r>
                            <w:r w:rsidRPr="0036172B">
                              <w:t xml:space="preserve"> 20</w:t>
                            </w:r>
                            <w:r>
                              <w:t>20</w:t>
                            </w:r>
                            <w:r w:rsidRPr="0036172B">
                              <w:t xml:space="preserve">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E4399" id="Pole tekstowe 20" o:spid="_x0000_s1027" type="#_x0000_t202" style="position:absolute;left:0;text-align:left;margin-left:244.25pt;margin-top:133.25pt;width:185.9pt;height:3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" stroked="f">
                <v:textbox style="mso-fit-shape-to-text:t" inset="0,0,0,0">
                  <w:txbxContent>
                    <w:p w:rsidR="004D2BD5" w:rsidRPr="003A7455" w:rsidRDefault="004D2BD5" w:rsidP="004D2BD5">
                      <w:pPr>
                        <w:pStyle w:val="Legenda"/>
                        <w:rPr>
                          <w:rFonts w:eastAsia="Japanese Gothic"/>
                          <w:b/>
                          <w:noProof/>
                        </w:rPr>
                      </w:pPr>
                      <w:r w:rsidRPr="007C228E">
                        <w:rPr>
                          <w:b/>
                        </w:rPr>
                        <w:t xml:space="preserve">Wykres </w:t>
                      </w:r>
                      <w:r w:rsidRPr="007C228E">
                        <w:rPr>
                          <w:b/>
                        </w:rPr>
                        <w:fldChar w:fldCharType="begin"/>
                      </w:r>
                      <w:r w:rsidRPr="007C228E">
                        <w:rPr>
                          <w:b/>
                        </w:rPr>
                        <w:instrText xml:space="preserve"> SEQ Wykres \* ARABIC </w:instrText>
                      </w:r>
                      <w:r w:rsidRPr="007C228E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5</w:t>
                      </w:r>
                      <w:r w:rsidRPr="007C228E">
                        <w:rPr>
                          <w:b/>
                        </w:rPr>
                        <w:fldChar w:fldCharType="end"/>
                      </w:r>
                      <w:r w:rsidRPr="007C228E">
                        <w:rPr>
                          <w:b/>
                        </w:rPr>
                        <w:t>.</w:t>
                      </w:r>
                      <w:r>
                        <w:t xml:space="preserve"> </w:t>
                      </w:r>
                      <w:r w:rsidRPr="0036172B">
                        <w:t xml:space="preserve">Struktura kosztów FUS </w:t>
                      </w:r>
                      <w:r>
                        <w:t xml:space="preserve">po pierwszym </w:t>
                      </w:r>
                      <w:r w:rsidR="00F54EC0">
                        <w:t>półroczu</w:t>
                      </w:r>
                      <w:r w:rsidRPr="0036172B">
                        <w:t xml:space="preserve"> 20</w:t>
                      </w:r>
                      <w:r>
                        <w:t>20</w:t>
                      </w:r>
                      <w:r w:rsidRPr="0036172B">
                        <w:t xml:space="preserve">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BD5" w:rsidRPr="007602E9">
        <w:rPr>
          <w:sz w:val="24"/>
        </w:rPr>
        <w:t>Koszty F</w:t>
      </w:r>
      <w:r w:rsidR="004D2BD5">
        <w:rPr>
          <w:sz w:val="24"/>
        </w:rPr>
        <w:t xml:space="preserve">unduszu Ubezpieczeń Społecznych </w:t>
      </w:r>
      <w:r w:rsidR="004D2BD5" w:rsidRPr="007602E9">
        <w:rPr>
          <w:sz w:val="24"/>
        </w:rPr>
        <w:t>w </w:t>
      </w:r>
      <w:r w:rsidR="007233C1">
        <w:rPr>
          <w:sz w:val="24"/>
        </w:rPr>
        <w:t>pierwszym półroczu</w:t>
      </w:r>
      <w:r w:rsidR="004D2BD5" w:rsidRPr="007602E9">
        <w:rPr>
          <w:sz w:val="24"/>
        </w:rPr>
        <w:t xml:space="preserve"> br. wyniosły </w:t>
      </w:r>
      <w:r w:rsidR="000A2D53">
        <w:rPr>
          <w:sz w:val="24"/>
        </w:rPr>
        <w:t>138,2</w:t>
      </w:r>
      <w:r w:rsidR="004D2BD5" w:rsidRPr="007602E9">
        <w:rPr>
          <w:sz w:val="24"/>
        </w:rPr>
        <w:t xml:space="preserve"> mld zł, co stanowi </w:t>
      </w:r>
      <w:r w:rsidR="000A2D53">
        <w:rPr>
          <w:sz w:val="24"/>
        </w:rPr>
        <w:t>52,9</w:t>
      </w:r>
      <w:r w:rsidR="004D2BD5">
        <w:rPr>
          <w:sz w:val="24"/>
        </w:rPr>
        <w:t xml:space="preserve">% </w:t>
      </w:r>
      <w:r>
        <w:rPr>
          <w:sz w:val="24"/>
        </w:rPr>
        <w:t>planu</w:t>
      </w:r>
      <w:r w:rsidR="004D2BD5">
        <w:rPr>
          <w:sz w:val="24"/>
        </w:rPr>
        <w:t xml:space="preserve"> na 2020</w:t>
      </w:r>
      <w:r>
        <w:rPr>
          <w:sz w:val="24"/>
        </w:rPr>
        <w:t> </w:t>
      </w:r>
      <w:r w:rsidR="004D2BD5" w:rsidRPr="007602E9">
        <w:rPr>
          <w:sz w:val="24"/>
        </w:rPr>
        <w:t>r.</w:t>
      </w:r>
      <w:r>
        <w:rPr>
          <w:sz w:val="24"/>
        </w:rPr>
        <w:t xml:space="preserve"> </w:t>
      </w:r>
      <w:r w:rsidR="00FD07E5" w:rsidRPr="00FD07E5">
        <w:rPr>
          <w:sz w:val="24"/>
        </w:rPr>
        <w:t>Największą pozycję kosztów funduszu stanowią transfery na rzecz ludności</w:t>
      </w:r>
      <w:r w:rsidR="00FD07E5">
        <w:rPr>
          <w:sz w:val="24"/>
        </w:rPr>
        <w:t>, czyli świadczenia emerytalno-rentowe oraz zasiłki</w:t>
      </w:r>
      <w:r w:rsidR="00FD07E5" w:rsidRPr="00FD07E5">
        <w:rPr>
          <w:sz w:val="24"/>
        </w:rPr>
        <w:t>. W okresie sty</w:t>
      </w:r>
      <w:r w:rsidR="00F54610">
        <w:rPr>
          <w:sz w:val="24"/>
        </w:rPr>
        <w:t>czeń–czerwiec 2020 r. wydatki z </w:t>
      </w:r>
      <w:r w:rsidR="00FD07E5" w:rsidRPr="00FD07E5">
        <w:rPr>
          <w:sz w:val="24"/>
        </w:rPr>
        <w:t>tego tytułu wyniosły 128,2 mld zł i ukształtowały się na poziomie 50,1% planu</w:t>
      </w:r>
      <w:r w:rsidR="00FD07E5">
        <w:rPr>
          <w:sz w:val="24"/>
        </w:rPr>
        <w:t>.</w:t>
      </w:r>
    </w:p>
    <w:p w:rsidR="00FD07E5" w:rsidRDefault="00FD07E5" w:rsidP="00F54EC0">
      <w:pPr>
        <w:spacing w:before="120" w:after="0"/>
        <w:jc w:val="both"/>
        <w:rPr>
          <w:sz w:val="24"/>
        </w:rPr>
      </w:pPr>
    </w:p>
    <w:p w:rsidR="004D2BD5" w:rsidRDefault="00FD07E5" w:rsidP="00F54EC0">
      <w:pPr>
        <w:spacing w:before="120" w:after="0"/>
        <w:jc w:val="both"/>
        <w:rPr>
          <w:sz w:val="24"/>
        </w:rPr>
      </w:pPr>
      <w:r>
        <w:rPr>
          <w:sz w:val="24"/>
        </w:rPr>
        <w:t>W</w:t>
      </w:r>
      <w:r w:rsidR="004D2BD5">
        <w:rPr>
          <w:sz w:val="24"/>
        </w:rPr>
        <w:t>ydatki na emerytury i renty</w:t>
      </w:r>
      <w:r>
        <w:rPr>
          <w:sz w:val="24"/>
        </w:rPr>
        <w:t xml:space="preserve"> finansowane z FUS w omawianym okresie wyniosły</w:t>
      </w:r>
      <w:r w:rsidR="004D2BD5" w:rsidRPr="008677C7">
        <w:rPr>
          <w:sz w:val="24"/>
        </w:rPr>
        <w:t xml:space="preserve"> </w:t>
      </w:r>
      <w:r w:rsidR="00D6155F">
        <w:rPr>
          <w:sz w:val="24"/>
        </w:rPr>
        <w:t>112,8</w:t>
      </w:r>
      <w:r w:rsidR="004D2BD5" w:rsidRPr="008677C7">
        <w:rPr>
          <w:sz w:val="24"/>
        </w:rPr>
        <w:t xml:space="preserve"> mld</w:t>
      </w:r>
      <w:r w:rsidR="00B21A9D">
        <w:rPr>
          <w:sz w:val="24"/>
        </w:rPr>
        <w:t> </w:t>
      </w:r>
      <w:r w:rsidR="004D2BD5" w:rsidRPr="008677C7">
        <w:rPr>
          <w:sz w:val="24"/>
        </w:rPr>
        <w:t xml:space="preserve">zł, co stanowi </w:t>
      </w:r>
      <w:r w:rsidR="00D6155F">
        <w:rPr>
          <w:sz w:val="24"/>
        </w:rPr>
        <w:t>49,5</w:t>
      </w:r>
      <w:r w:rsidR="004D2BD5" w:rsidRPr="008677C7">
        <w:rPr>
          <w:sz w:val="24"/>
        </w:rPr>
        <w:t>% kosztów zaplanowanych na</w:t>
      </w:r>
      <w:r w:rsidR="004D2BD5">
        <w:rPr>
          <w:sz w:val="24"/>
        </w:rPr>
        <w:t xml:space="preserve"> ten</w:t>
      </w:r>
      <w:r w:rsidR="004D2BD5" w:rsidRPr="008677C7">
        <w:rPr>
          <w:sz w:val="24"/>
        </w:rPr>
        <w:t xml:space="preserve"> rok. </w:t>
      </w:r>
    </w:p>
    <w:p w:rsidR="004D2BD5" w:rsidRDefault="004D2BD5" w:rsidP="004D2BD5">
      <w:pPr>
        <w:keepNext/>
        <w:spacing w:after="0"/>
        <w:jc w:val="both"/>
      </w:pPr>
      <w:r w:rsidRPr="00D3226F">
        <w:rPr>
          <w:noProof/>
          <w:lang w:eastAsia="pl-PL"/>
        </w:rPr>
        <w:drawing>
          <wp:inline distT="0" distB="0" distL="0" distR="0" wp14:anchorId="5BEA71F5" wp14:editId="4C22A2B6">
            <wp:extent cx="5762445" cy="2320506"/>
            <wp:effectExtent l="0" t="0" r="0" b="381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D2BD5" w:rsidRPr="00D3226F" w:rsidRDefault="004D2BD5" w:rsidP="004D2BD5">
      <w:pPr>
        <w:pStyle w:val="Legenda"/>
        <w:jc w:val="both"/>
      </w:pPr>
      <w:r w:rsidRPr="005929D1">
        <w:rPr>
          <w:b/>
        </w:rPr>
        <w:t xml:space="preserve">Wykres </w:t>
      </w:r>
      <w:r w:rsidRPr="005929D1">
        <w:rPr>
          <w:b/>
        </w:rPr>
        <w:fldChar w:fldCharType="begin"/>
      </w:r>
      <w:r w:rsidRPr="005929D1">
        <w:rPr>
          <w:b/>
        </w:rPr>
        <w:instrText xml:space="preserve"> SEQ Wykres \* ARABIC </w:instrText>
      </w:r>
      <w:r w:rsidRPr="005929D1">
        <w:rPr>
          <w:b/>
        </w:rPr>
        <w:fldChar w:fldCharType="separate"/>
      </w:r>
      <w:r>
        <w:rPr>
          <w:b/>
          <w:noProof/>
        </w:rPr>
        <w:t>6</w:t>
      </w:r>
      <w:r w:rsidRPr="005929D1">
        <w:rPr>
          <w:b/>
        </w:rPr>
        <w:fldChar w:fldCharType="end"/>
      </w:r>
      <w:r w:rsidRPr="005929D1">
        <w:rPr>
          <w:b/>
        </w:rPr>
        <w:t>.</w:t>
      </w:r>
      <w:r>
        <w:t xml:space="preserve"> </w:t>
      </w:r>
      <w:r w:rsidRPr="001F0ABC">
        <w:t>Wydatki na emerytury i renty</w:t>
      </w:r>
      <w:r>
        <w:t xml:space="preserve"> z FUS</w:t>
      </w:r>
      <w:r w:rsidRPr="001F0ABC">
        <w:t xml:space="preserve"> (w mld zł)</w:t>
      </w:r>
    </w:p>
    <w:p w:rsidR="004D2BD5" w:rsidRPr="009E16EE" w:rsidRDefault="004D2BD5" w:rsidP="004D2BD5">
      <w:pPr>
        <w:spacing w:before="120" w:after="0"/>
        <w:jc w:val="both"/>
        <w:rPr>
          <w:sz w:val="24"/>
        </w:rPr>
      </w:pPr>
      <w:bookmarkStart w:id="1" w:name="_Ref530647738"/>
      <w:r w:rsidRPr="009E16EE">
        <w:rPr>
          <w:sz w:val="24"/>
        </w:rPr>
        <w:lastRenderedPageBreak/>
        <w:t xml:space="preserve">Liczba emerytur i rent w </w:t>
      </w:r>
      <w:r w:rsidR="00634089">
        <w:rPr>
          <w:sz w:val="24"/>
        </w:rPr>
        <w:t xml:space="preserve">czerwcu </w:t>
      </w:r>
      <w:r w:rsidRPr="009E16EE">
        <w:rPr>
          <w:sz w:val="24"/>
        </w:rPr>
        <w:t xml:space="preserve">br. wyniosła </w:t>
      </w:r>
      <w:r w:rsidR="00B21A9D">
        <w:rPr>
          <w:sz w:val="24"/>
        </w:rPr>
        <w:t>7 783,9</w:t>
      </w:r>
      <w:r w:rsidRPr="009E16EE">
        <w:rPr>
          <w:sz w:val="24"/>
        </w:rPr>
        <w:t xml:space="preserve"> tys.</w:t>
      </w:r>
      <w:r w:rsidRPr="00CF6E16">
        <w:rPr>
          <w:vertAlign w:val="superscript"/>
        </w:rPr>
        <w:footnoteReference w:id="2"/>
      </w:r>
      <w:r w:rsidRPr="009E16EE">
        <w:rPr>
          <w:sz w:val="24"/>
        </w:rPr>
        <w:t xml:space="preserve"> i była o </w:t>
      </w:r>
      <w:r w:rsidR="00634089">
        <w:rPr>
          <w:sz w:val="24"/>
        </w:rPr>
        <w:t>87,6</w:t>
      </w:r>
      <w:r w:rsidRPr="009E16EE">
        <w:rPr>
          <w:sz w:val="24"/>
        </w:rPr>
        <w:t> tys. większa niż</w:t>
      </w:r>
      <w:r>
        <w:rPr>
          <w:sz w:val="24"/>
        </w:rPr>
        <w:t> </w:t>
      </w:r>
      <w:r w:rsidRPr="009E16EE">
        <w:rPr>
          <w:sz w:val="24"/>
        </w:rPr>
        <w:t>w </w:t>
      </w:r>
      <w:r w:rsidR="00634089">
        <w:rPr>
          <w:sz w:val="24"/>
        </w:rPr>
        <w:t xml:space="preserve">czerwcu </w:t>
      </w:r>
      <w:r>
        <w:rPr>
          <w:sz w:val="24"/>
        </w:rPr>
        <w:t>2019</w:t>
      </w:r>
      <w:r w:rsidRPr="009E16EE">
        <w:rPr>
          <w:sz w:val="24"/>
        </w:rPr>
        <w:t xml:space="preserve"> r. Minęł</w:t>
      </w:r>
      <w:r>
        <w:rPr>
          <w:sz w:val="24"/>
        </w:rPr>
        <w:t>y</w:t>
      </w:r>
      <w:r w:rsidRPr="009E16EE">
        <w:rPr>
          <w:sz w:val="24"/>
        </w:rPr>
        <w:t xml:space="preserve"> już </w:t>
      </w:r>
      <w:r w:rsidR="00634089">
        <w:rPr>
          <w:sz w:val="24"/>
        </w:rPr>
        <w:t xml:space="preserve">ponad </w:t>
      </w:r>
      <w:r>
        <w:rPr>
          <w:sz w:val="24"/>
        </w:rPr>
        <w:t>dwa lata</w:t>
      </w:r>
      <w:r w:rsidRPr="009E16EE">
        <w:rPr>
          <w:sz w:val="24"/>
        </w:rPr>
        <w:t xml:space="preserve"> od wprowadzenia reformy obniżającej wiek emerytalny – jej skutki najlepiej obrazuje comiesięczna liczba wypłacanych świadczeń emerytalnych. </w:t>
      </w:r>
    </w:p>
    <w:bookmarkEnd w:id="1"/>
    <w:p w:rsidR="004D2BD5" w:rsidRDefault="004D2BD5" w:rsidP="004D2BD5">
      <w:pPr>
        <w:keepNext/>
        <w:spacing w:before="120" w:after="0"/>
        <w:jc w:val="both"/>
      </w:pPr>
      <w:r w:rsidRPr="00EA10B2">
        <w:rPr>
          <w:noProof/>
          <w:color w:val="000000"/>
          <w:kern w:val="28"/>
          <w:lang w:eastAsia="pl-PL"/>
        </w:rPr>
        <w:drawing>
          <wp:inline distT="0" distB="0" distL="0" distR="0" wp14:anchorId="67C910BB" wp14:editId="2793D65D">
            <wp:extent cx="5888182" cy="1413164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D2BD5" w:rsidRDefault="004D2BD5" w:rsidP="004D2BD5">
      <w:pPr>
        <w:pStyle w:val="Legenda"/>
        <w:jc w:val="both"/>
      </w:pPr>
      <w:r w:rsidRPr="005929D1">
        <w:rPr>
          <w:b/>
        </w:rPr>
        <w:t xml:space="preserve">Wykres </w:t>
      </w:r>
      <w:r w:rsidRPr="005929D1">
        <w:rPr>
          <w:b/>
        </w:rPr>
        <w:fldChar w:fldCharType="begin"/>
      </w:r>
      <w:r w:rsidRPr="005929D1">
        <w:rPr>
          <w:b/>
        </w:rPr>
        <w:instrText xml:space="preserve"> SEQ Wykres \* ARABIC </w:instrText>
      </w:r>
      <w:r w:rsidRPr="005929D1">
        <w:rPr>
          <w:b/>
        </w:rPr>
        <w:fldChar w:fldCharType="separate"/>
      </w:r>
      <w:r>
        <w:rPr>
          <w:b/>
          <w:noProof/>
        </w:rPr>
        <w:t>7</w:t>
      </w:r>
      <w:r w:rsidRPr="005929D1">
        <w:rPr>
          <w:b/>
        </w:rPr>
        <w:fldChar w:fldCharType="end"/>
      </w:r>
      <w:r w:rsidRPr="005929D1">
        <w:rPr>
          <w:b/>
        </w:rPr>
        <w:t>.</w:t>
      </w:r>
      <w:r>
        <w:t xml:space="preserve"> </w:t>
      </w:r>
      <w:r w:rsidRPr="00F4394A">
        <w:t>Liczba świadczeń emerytalnych (w tys.)</w:t>
      </w:r>
      <w:r>
        <w:rPr>
          <w:rStyle w:val="Odwoanieprzypisudolnego"/>
        </w:rPr>
        <w:footnoteReference w:id="3"/>
      </w:r>
    </w:p>
    <w:p w:rsidR="006908FE" w:rsidRPr="006908FE" w:rsidRDefault="006908FE" w:rsidP="006908FE">
      <w:r w:rsidRPr="008677C7">
        <w:rPr>
          <w:sz w:val="24"/>
        </w:rPr>
        <w:t>Liczba nowo przyznanych emerytur w</w:t>
      </w:r>
      <w:r>
        <w:rPr>
          <w:sz w:val="24"/>
        </w:rPr>
        <w:t xml:space="preserve"> okresie styczeń–czerwiec</w:t>
      </w:r>
      <w:r w:rsidRPr="008677C7">
        <w:rPr>
          <w:sz w:val="24"/>
        </w:rPr>
        <w:t xml:space="preserve"> br. wyniosła </w:t>
      </w:r>
      <w:r>
        <w:rPr>
          <w:sz w:val="24"/>
        </w:rPr>
        <w:t>117,8 tys. i była niższa o 11,3</w:t>
      </w:r>
      <w:r w:rsidRPr="008677C7">
        <w:rPr>
          <w:sz w:val="24"/>
        </w:rPr>
        <w:t>% od lic</w:t>
      </w:r>
      <w:r>
        <w:rPr>
          <w:sz w:val="24"/>
        </w:rPr>
        <w:t>zby nowo przyznanych emerytur w analogicznym okresie ubiegłego roku</w:t>
      </w:r>
      <w:r w:rsidRPr="008677C7">
        <w:rPr>
          <w:sz w:val="24"/>
        </w:rPr>
        <w:t>.</w:t>
      </w:r>
    </w:p>
    <w:p w:rsidR="004D2BD5" w:rsidRDefault="004D2BD5" w:rsidP="004D2BD5">
      <w:r>
        <w:rPr>
          <w:noProof/>
          <w:lang w:eastAsia="pl-PL"/>
        </w:rPr>
        <w:drawing>
          <wp:inline distT="0" distB="0" distL="0" distR="0" wp14:anchorId="6D936DFF" wp14:editId="4BEFC307">
            <wp:extent cx="5950527" cy="2292927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D2BD5" w:rsidRPr="00321B98" w:rsidRDefault="004D2BD5" w:rsidP="004D2BD5">
      <w:r w:rsidRPr="00A233E1">
        <w:rPr>
          <w:b/>
          <w:sz w:val="19"/>
          <w:szCs w:val="19"/>
        </w:rPr>
        <w:t>Wykres 8.</w:t>
      </w:r>
      <w:r w:rsidRPr="00D73AE9">
        <w:rPr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 w:rsidRPr="00D73AE9">
        <w:rPr>
          <w:sz w:val="18"/>
          <w:szCs w:val="18"/>
        </w:rPr>
        <w:t>iczba nowo przyznanych emerytur</w:t>
      </w:r>
      <w:r>
        <w:rPr>
          <w:sz w:val="18"/>
          <w:szCs w:val="18"/>
        </w:rPr>
        <w:t xml:space="preserve"> (w tys.)</w:t>
      </w:r>
      <w:r w:rsidRPr="00D73AE9">
        <w:rPr>
          <w:sz w:val="18"/>
          <w:szCs w:val="18"/>
        </w:rPr>
        <w:t xml:space="preserve"> </w:t>
      </w:r>
      <w:r>
        <w:rPr>
          <w:sz w:val="18"/>
          <w:szCs w:val="18"/>
        </w:rPr>
        <w:t>w latach 2018–2020</w:t>
      </w:r>
    </w:p>
    <w:p w:rsidR="004D2BD5" w:rsidRPr="008677C7" w:rsidRDefault="004D2BD5" w:rsidP="004D2BD5">
      <w:pPr>
        <w:keepNext/>
        <w:spacing w:before="240" w:after="20" w:line="240" w:lineRule="auto"/>
        <w:jc w:val="both"/>
        <w:outlineLvl w:val="0"/>
        <w:rPr>
          <w:b/>
          <w:bCs/>
          <w:color w:val="000000"/>
          <w:sz w:val="24"/>
          <w:szCs w:val="18"/>
        </w:rPr>
      </w:pPr>
      <w:r w:rsidRPr="008677C7">
        <w:rPr>
          <w:b/>
          <w:bCs/>
          <w:color w:val="000000"/>
          <w:spacing w:val="-4"/>
          <w:sz w:val="24"/>
          <w:szCs w:val="18"/>
        </w:rPr>
        <w:t>Informacja o emeryturach i rentach</w:t>
      </w:r>
      <w:r w:rsidRPr="008677C7">
        <w:rPr>
          <w:b/>
          <w:bCs/>
          <w:color w:val="000000"/>
          <w:sz w:val="24"/>
          <w:szCs w:val="18"/>
        </w:rPr>
        <w:t xml:space="preserve"> w okresie styczeń</w:t>
      </w:r>
      <w:r>
        <w:rPr>
          <w:b/>
          <w:bCs/>
          <w:color w:val="000000"/>
          <w:sz w:val="24"/>
          <w:szCs w:val="18"/>
        </w:rPr>
        <w:t>–</w:t>
      </w:r>
      <w:r w:rsidR="00BF76B5">
        <w:rPr>
          <w:b/>
          <w:bCs/>
          <w:color w:val="000000"/>
          <w:sz w:val="24"/>
          <w:szCs w:val="18"/>
        </w:rPr>
        <w:t>czerwiec</w:t>
      </w:r>
      <w:r w:rsidR="00BF76B5" w:rsidRPr="008677C7">
        <w:rPr>
          <w:b/>
          <w:bCs/>
          <w:color w:val="000000"/>
          <w:sz w:val="24"/>
          <w:szCs w:val="18"/>
        </w:rPr>
        <w:t xml:space="preserve"> </w:t>
      </w:r>
      <w:r>
        <w:rPr>
          <w:b/>
          <w:bCs/>
          <w:color w:val="000000"/>
          <w:sz w:val="24"/>
          <w:szCs w:val="18"/>
        </w:rPr>
        <w:t>2020</w:t>
      </w:r>
      <w:r w:rsidRPr="008677C7">
        <w:rPr>
          <w:b/>
          <w:bCs/>
          <w:color w:val="000000"/>
          <w:sz w:val="24"/>
          <w:szCs w:val="18"/>
        </w:rPr>
        <w:t xml:space="preserve"> r. </w:t>
      </w:r>
    </w:p>
    <w:tbl>
      <w:tblPr>
        <w:tblW w:w="9386" w:type="dxa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1276"/>
        <w:gridCol w:w="1985"/>
        <w:gridCol w:w="2976"/>
      </w:tblGrid>
      <w:tr w:rsidR="004D2BD5" w:rsidRPr="00D3226F" w:rsidTr="00A6690B">
        <w:trPr>
          <w:trHeight w:hRule="exact" w:val="990"/>
        </w:trPr>
        <w:tc>
          <w:tcPr>
            <w:tcW w:w="3149" w:type="dxa"/>
            <w:shd w:val="clear" w:color="auto" w:fill="00416E"/>
            <w:vAlign w:val="center"/>
            <w:hideMark/>
          </w:tcPr>
          <w:p w:rsidR="004D2BD5" w:rsidRPr="00EE59C9" w:rsidRDefault="004D2BD5" w:rsidP="00A6690B">
            <w:pPr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eastAsiaTheme="minorEastAsia" w:cs="Tw Cen MT Condensed"/>
                <w:b/>
                <w:bCs/>
                <w:color w:val="FFFFFF" w:themeColor="background1"/>
                <w:sz w:val="20"/>
                <w:szCs w:val="20"/>
              </w:rPr>
            </w:pPr>
            <w:r w:rsidRPr="00EE59C9">
              <w:rPr>
                <w:rFonts w:eastAsiaTheme="minorEastAsia" w:cs="Tw Cen MT Condensed"/>
                <w:b/>
                <w:bCs/>
                <w:color w:val="FFFFFF" w:themeColor="background1"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shd w:val="clear" w:color="auto" w:fill="00416E"/>
            <w:vAlign w:val="center"/>
            <w:hideMark/>
          </w:tcPr>
          <w:p w:rsidR="004D2BD5" w:rsidRPr="00EE59C9" w:rsidRDefault="004D2BD5" w:rsidP="00A6690B">
            <w:pPr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eastAsiaTheme="minorEastAsia" w:cs="Tw Cen MT Condensed"/>
                <w:b/>
                <w:bCs/>
                <w:color w:val="FFFFFF" w:themeColor="background1"/>
                <w:sz w:val="20"/>
                <w:szCs w:val="20"/>
              </w:rPr>
            </w:pPr>
            <w:r w:rsidRPr="00EE59C9">
              <w:rPr>
                <w:rFonts w:eastAsiaTheme="minorEastAsia" w:cs="Tw Cen MT Condensed"/>
                <w:b/>
                <w:bCs/>
                <w:color w:val="FFFFFF" w:themeColor="background1"/>
                <w:sz w:val="20"/>
                <w:szCs w:val="20"/>
              </w:rPr>
              <w:t>Liczba</w:t>
            </w:r>
            <w:r>
              <w:rPr>
                <w:rFonts w:eastAsiaTheme="minorEastAsia" w:cs="Tw Cen MT Condensed"/>
                <w:b/>
                <w:bCs/>
                <w:color w:val="FFFFFF" w:themeColor="background1"/>
                <w:sz w:val="20"/>
                <w:szCs w:val="20"/>
              </w:rPr>
              <w:t xml:space="preserve"> nowo przyznanych świadczeń</w:t>
            </w:r>
            <w:r w:rsidRPr="00EE59C9">
              <w:rPr>
                <w:rFonts w:eastAsiaTheme="minorEastAsia" w:cs="Tw Cen MT Condensed"/>
                <w:b/>
                <w:bCs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00416E"/>
            <w:vAlign w:val="center"/>
            <w:hideMark/>
          </w:tcPr>
          <w:p w:rsidR="004D2BD5" w:rsidRPr="00EE59C9" w:rsidRDefault="004D2BD5" w:rsidP="00A6690B">
            <w:pPr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eastAsiaTheme="minorEastAsia" w:cs="Tw Cen MT Condensed"/>
                <w:b/>
                <w:bCs/>
                <w:color w:val="FFFFFF" w:themeColor="background1"/>
                <w:sz w:val="20"/>
                <w:szCs w:val="20"/>
              </w:rPr>
            </w:pPr>
            <w:r w:rsidRPr="00EE59C9">
              <w:rPr>
                <w:rFonts w:eastAsiaTheme="minorEastAsia" w:cs="Tw Cen MT Condensed"/>
                <w:b/>
                <w:bCs/>
                <w:color w:val="FFFFFF" w:themeColor="background1"/>
                <w:sz w:val="20"/>
                <w:szCs w:val="20"/>
              </w:rPr>
              <w:t>Przeciętna wysokość</w:t>
            </w:r>
            <w:r>
              <w:rPr>
                <w:rFonts w:eastAsiaTheme="minorEastAsia" w:cs="Tw Cen MT Condensed"/>
                <w:b/>
                <w:bCs/>
                <w:color w:val="FFFFFF" w:themeColor="background1"/>
                <w:sz w:val="20"/>
                <w:szCs w:val="20"/>
              </w:rPr>
              <w:t xml:space="preserve"> nowo przyznanego </w:t>
            </w:r>
            <w:r w:rsidRPr="00EE59C9">
              <w:rPr>
                <w:rFonts w:eastAsiaTheme="minorEastAsia" w:cs="Tw Cen MT Condensed"/>
                <w:b/>
                <w:bCs/>
                <w:color w:val="FFFFFF" w:themeColor="background1"/>
                <w:sz w:val="20"/>
                <w:szCs w:val="20"/>
              </w:rPr>
              <w:t>świadczenia**</w:t>
            </w:r>
          </w:p>
        </w:tc>
        <w:tc>
          <w:tcPr>
            <w:tcW w:w="2976" w:type="dxa"/>
            <w:shd w:val="clear" w:color="auto" w:fill="00416E"/>
            <w:vAlign w:val="center"/>
          </w:tcPr>
          <w:p w:rsidR="004D2BD5" w:rsidRPr="00EE59C9" w:rsidRDefault="004D2BD5" w:rsidP="00A6690B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eastAsiaTheme="minorEastAsia" w:cs="Tw Cen MT Condensed"/>
                <w:b/>
                <w:bCs/>
                <w:color w:val="FFFFFF" w:themeColor="background1"/>
                <w:sz w:val="20"/>
                <w:szCs w:val="20"/>
              </w:rPr>
            </w:pPr>
            <w:r w:rsidRPr="00EE59C9">
              <w:rPr>
                <w:rFonts w:eastAsiaTheme="minorEastAsia" w:cs="Tw Cen MT Condensed"/>
                <w:b/>
                <w:bCs/>
                <w:color w:val="FFFFFF" w:themeColor="background1"/>
                <w:sz w:val="20"/>
                <w:szCs w:val="20"/>
              </w:rPr>
              <w:t>Liczba osób pobierających świadczenie na koniec okresu</w:t>
            </w:r>
          </w:p>
        </w:tc>
      </w:tr>
      <w:tr w:rsidR="004D2BD5" w:rsidRPr="00D3226F" w:rsidTr="00A6690B">
        <w:trPr>
          <w:trHeight w:hRule="exact" w:val="284"/>
        </w:trPr>
        <w:tc>
          <w:tcPr>
            <w:tcW w:w="3149" w:type="dxa"/>
            <w:hideMark/>
          </w:tcPr>
          <w:p w:rsidR="004D2BD5" w:rsidRPr="00EE59C9" w:rsidRDefault="004D2BD5" w:rsidP="00A669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w Cen MT Condensed"/>
                <w:color w:val="000000"/>
                <w:sz w:val="20"/>
                <w:szCs w:val="20"/>
              </w:rPr>
            </w:pPr>
            <w:r w:rsidRPr="00EE59C9">
              <w:rPr>
                <w:rFonts w:eastAsiaTheme="minorEastAsia" w:cs="Tw Cen MT Condensed"/>
                <w:color w:val="000000"/>
                <w:sz w:val="20"/>
                <w:szCs w:val="20"/>
              </w:rPr>
              <w:t>Emerytury</w:t>
            </w:r>
          </w:p>
        </w:tc>
        <w:tc>
          <w:tcPr>
            <w:tcW w:w="1276" w:type="dxa"/>
            <w:hideMark/>
          </w:tcPr>
          <w:p w:rsidR="004D2BD5" w:rsidRPr="00EE59C9" w:rsidRDefault="0033246F" w:rsidP="00A66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  <w:r w:rsidR="004D2BD5" w:rsidRPr="00EE59C9">
              <w:rPr>
                <w:sz w:val="20"/>
                <w:szCs w:val="20"/>
              </w:rPr>
              <w:t xml:space="preserve"> tys.</w:t>
            </w:r>
          </w:p>
        </w:tc>
        <w:tc>
          <w:tcPr>
            <w:tcW w:w="1985" w:type="dxa"/>
            <w:vAlign w:val="center"/>
            <w:hideMark/>
          </w:tcPr>
          <w:p w:rsidR="004D2BD5" w:rsidRPr="00B30E44" w:rsidRDefault="004D2BD5" w:rsidP="000428D5">
            <w:pPr>
              <w:keepNext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0E44">
              <w:rPr>
                <w:rFonts w:cs="Arial"/>
                <w:color w:val="000000"/>
                <w:sz w:val="20"/>
                <w:szCs w:val="20"/>
              </w:rPr>
              <w:t>2</w:t>
            </w:r>
            <w:r w:rsidR="000428D5" w:rsidRPr="00B30E44">
              <w:rPr>
                <w:rFonts w:cs="Arial"/>
                <w:color w:val="000000"/>
                <w:sz w:val="20"/>
                <w:szCs w:val="20"/>
              </w:rPr>
              <w:t> 403,17</w:t>
            </w:r>
            <w:r w:rsidRPr="00B30E44">
              <w:rPr>
                <w:rFonts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2976" w:type="dxa"/>
            <w:vAlign w:val="center"/>
          </w:tcPr>
          <w:p w:rsidR="004D2BD5" w:rsidRPr="001E5A70" w:rsidRDefault="001F602C" w:rsidP="00A6690B">
            <w:pPr>
              <w:keepNext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F602C">
              <w:rPr>
                <w:rFonts w:cs="Arial"/>
                <w:color w:val="000000"/>
                <w:sz w:val="20"/>
                <w:szCs w:val="20"/>
              </w:rPr>
              <w:t>5 922,1</w:t>
            </w:r>
            <w:r w:rsidR="004D2BD5" w:rsidRPr="001E5A70">
              <w:rPr>
                <w:rFonts w:cs="Arial"/>
                <w:color w:val="000000"/>
                <w:sz w:val="20"/>
                <w:szCs w:val="20"/>
              </w:rPr>
              <w:t xml:space="preserve"> tys.</w:t>
            </w:r>
          </w:p>
        </w:tc>
      </w:tr>
      <w:tr w:rsidR="004D2BD5" w:rsidRPr="00D3226F" w:rsidTr="00A6690B">
        <w:trPr>
          <w:trHeight w:hRule="exact" w:val="284"/>
        </w:trPr>
        <w:tc>
          <w:tcPr>
            <w:tcW w:w="3149" w:type="dxa"/>
            <w:hideMark/>
          </w:tcPr>
          <w:p w:rsidR="004D2BD5" w:rsidRPr="00EE59C9" w:rsidRDefault="004D2BD5" w:rsidP="00A669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w Cen MT Condensed"/>
                <w:color w:val="000000"/>
                <w:sz w:val="20"/>
                <w:szCs w:val="20"/>
              </w:rPr>
            </w:pPr>
            <w:r w:rsidRPr="00EE59C9">
              <w:rPr>
                <w:rFonts w:eastAsiaTheme="minorEastAsia" w:cs="Tw Cen MT Condensed"/>
                <w:color w:val="000000"/>
                <w:sz w:val="20"/>
                <w:szCs w:val="20"/>
              </w:rPr>
              <w:t>Renty z tytułu niezdolności do pracy</w:t>
            </w:r>
          </w:p>
        </w:tc>
        <w:tc>
          <w:tcPr>
            <w:tcW w:w="1276" w:type="dxa"/>
            <w:hideMark/>
          </w:tcPr>
          <w:p w:rsidR="004D2BD5" w:rsidRPr="00EE59C9" w:rsidRDefault="001F602C" w:rsidP="00A66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  <w:r w:rsidR="004D2BD5" w:rsidRPr="00EE59C9">
              <w:rPr>
                <w:sz w:val="20"/>
                <w:szCs w:val="20"/>
              </w:rPr>
              <w:t xml:space="preserve"> tys.</w:t>
            </w:r>
          </w:p>
        </w:tc>
        <w:tc>
          <w:tcPr>
            <w:tcW w:w="1985" w:type="dxa"/>
            <w:vAlign w:val="center"/>
            <w:hideMark/>
          </w:tcPr>
          <w:p w:rsidR="004D2BD5" w:rsidRPr="00B30E44" w:rsidRDefault="004D2BD5" w:rsidP="000428D5">
            <w:pPr>
              <w:keepNext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0E44">
              <w:rPr>
                <w:rFonts w:cs="Arial"/>
                <w:color w:val="000000"/>
                <w:sz w:val="20"/>
                <w:szCs w:val="20"/>
              </w:rPr>
              <w:t>1</w:t>
            </w:r>
            <w:r w:rsidR="000428D5" w:rsidRPr="00B30E44">
              <w:rPr>
                <w:rFonts w:cs="Arial"/>
                <w:color w:val="000000"/>
                <w:sz w:val="20"/>
                <w:szCs w:val="20"/>
              </w:rPr>
              <w:t> 908,</w:t>
            </w:r>
            <w:r w:rsidR="00B30E44" w:rsidRPr="00B30E44">
              <w:rPr>
                <w:rFonts w:cs="Arial"/>
                <w:color w:val="000000"/>
                <w:sz w:val="20"/>
                <w:szCs w:val="20"/>
              </w:rPr>
              <w:t>09</w:t>
            </w:r>
            <w:r w:rsidRPr="00B30E44">
              <w:rPr>
                <w:rFonts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2976" w:type="dxa"/>
            <w:vAlign w:val="center"/>
          </w:tcPr>
          <w:p w:rsidR="004D2BD5" w:rsidRPr="001E5A70" w:rsidRDefault="001F602C" w:rsidP="00A6690B">
            <w:pPr>
              <w:keepNext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F602C">
              <w:rPr>
                <w:rFonts w:cs="Arial"/>
                <w:color w:val="000000"/>
                <w:sz w:val="20"/>
                <w:szCs w:val="20"/>
              </w:rPr>
              <w:t>657,7</w:t>
            </w:r>
            <w:r w:rsidR="004D2BD5" w:rsidRPr="001E5A70">
              <w:rPr>
                <w:rFonts w:cs="Arial"/>
                <w:color w:val="000000"/>
                <w:sz w:val="20"/>
                <w:szCs w:val="20"/>
              </w:rPr>
              <w:t xml:space="preserve"> tys.</w:t>
            </w:r>
          </w:p>
        </w:tc>
      </w:tr>
      <w:tr w:rsidR="004D2BD5" w:rsidRPr="00D3226F" w:rsidTr="00A6690B">
        <w:trPr>
          <w:trHeight w:hRule="exact" w:val="303"/>
        </w:trPr>
        <w:tc>
          <w:tcPr>
            <w:tcW w:w="3149" w:type="dxa"/>
            <w:tcBorders>
              <w:top w:val="nil"/>
              <w:left w:val="nil"/>
              <w:bottom w:val="single" w:sz="18" w:space="0" w:color="00416E"/>
              <w:right w:val="nil"/>
            </w:tcBorders>
            <w:hideMark/>
          </w:tcPr>
          <w:p w:rsidR="004D2BD5" w:rsidRPr="00EE59C9" w:rsidRDefault="004D2BD5" w:rsidP="00A669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w Cen MT Condensed"/>
                <w:color w:val="000000"/>
                <w:sz w:val="20"/>
                <w:szCs w:val="20"/>
              </w:rPr>
            </w:pPr>
            <w:r w:rsidRPr="00EE59C9">
              <w:rPr>
                <w:rFonts w:eastAsiaTheme="minorEastAsia" w:cs="Tw Cen MT Condensed"/>
                <w:color w:val="000000"/>
                <w:sz w:val="20"/>
                <w:szCs w:val="20"/>
              </w:rPr>
              <w:t>Renty rodzinne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416E"/>
              <w:right w:val="nil"/>
            </w:tcBorders>
            <w:hideMark/>
          </w:tcPr>
          <w:p w:rsidR="004D2BD5" w:rsidRPr="00EE59C9" w:rsidRDefault="001F602C" w:rsidP="00A66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  <w:r w:rsidR="004D2BD5" w:rsidRPr="00EE59C9">
              <w:rPr>
                <w:sz w:val="20"/>
                <w:szCs w:val="20"/>
              </w:rPr>
              <w:t xml:space="preserve"> tys.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416E"/>
              <w:right w:val="nil"/>
            </w:tcBorders>
            <w:vAlign w:val="center"/>
            <w:hideMark/>
          </w:tcPr>
          <w:p w:rsidR="004D2BD5" w:rsidRPr="00B30E44" w:rsidRDefault="004D2BD5" w:rsidP="000428D5">
            <w:pPr>
              <w:keepNext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0E44">
              <w:rPr>
                <w:rFonts w:cs="Arial"/>
                <w:color w:val="000000"/>
                <w:sz w:val="20"/>
                <w:szCs w:val="20"/>
              </w:rPr>
              <w:t>2</w:t>
            </w:r>
            <w:r w:rsidR="00B30E44" w:rsidRPr="00B30E44">
              <w:rPr>
                <w:rFonts w:cs="Arial"/>
                <w:color w:val="000000"/>
                <w:sz w:val="20"/>
                <w:szCs w:val="20"/>
              </w:rPr>
              <w:t> 106,26</w:t>
            </w:r>
            <w:r w:rsidRPr="00B30E44">
              <w:rPr>
                <w:rFonts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8" w:space="0" w:color="00416E"/>
              <w:right w:val="nil"/>
            </w:tcBorders>
            <w:vAlign w:val="center"/>
          </w:tcPr>
          <w:p w:rsidR="004D2BD5" w:rsidRPr="001E5A70" w:rsidRDefault="001F602C" w:rsidP="00A6690B">
            <w:pPr>
              <w:keepNext/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F602C">
              <w:rPr>
                <w:rFonts w:cs="Arial"/>
                <w:color w:val="000000"/>
                <w:sz w:val="20"/>
                <w:szCs w:val="20"/>
              </w:rPr>
              <w:t>1 204,1</w:t>
            </w:r>
            <w:r w:rsidR="004D2BD5" w:rsidRPr="001E5A70">
              <w:rPr>
                <w:rFonts w:cs="Arial"/>
                <w:color w:val="000000"/>
                <w:sz w:val="20"/>
                <w:szCs w:val="20"/>
              </w:rPr>
              <w:t xml:space="preserve"> tys.</w:t>
            </w:r>
          </w:p>
        </w:tc>
      </w:tr>
    </w:tbl>
    <w:p w:rsidR="004D2BD5" w:rsidRPr="009F78B2" w:rsidRDefault="004D2BD5" w:rsidP="004D2BD5">
      <w:pPr>
        <w:spacing w:after="0" w:line="240" w:lineRule="auto"/>
        <w:rPr>
          <w:sz w:val="18"/>
          <w:szCs w:val="18"/>
        </w:rPr>
      </w:pPr>
      <w:r w:rsidRPr="009F78B2">
        <w:rPr>
          <w:sz w:val="18"/>
          <w:szCs w:val="18"/>
        </w:rPr>
        <w:t>*Dotyczy osób, którym przyznano świadczenie po raz pierwszy, i które podjęły jego wypłatę w stałym miesięcznym terminie płatności.</w:t>
      </w:r>
    </w:p>
    <w:p w:rsidR="004D2BD5" w:rsidRPr="009F78B2" w:rsidRDefault="004D2BD5" w:rsidP="004D2BD5">
      <w:pPr>
        <w:spacing w:after="0" w:line="240" w:lineRule="auto"/>
        <w:rPr>
          <w:sz w:val="18"/>
          <w:szCs w:val="18"/>
        </w:rPr>
      </w:pPr>
      <w:r w:rsidRPr="009F78B2">
        <w:rPr>
          <w:sz w:val="18"/>
          <w:szCs w:val="18"/>
        </w:rPr>
        <w:t>**Przeciętna wysokość świadczenia z momentu przyznania łącznie z kwotą dodatku pielęgnacyjnego, a w przypadku renty rodzinnej także dodatku dla sieroty zupełnej, bez wyrównań. W przypadku pobierania emerytury okresowej – łącznie z kwotą tej emerytury.</w:t>
      </w:r>
    </w:p>
    <w:p w:rsidR="004D2BD5" w:rsidRPr="00D3226F" w:rsidRDefault="004D2BD5" w:rsidP="004D2BD5">
      <w:pPr>
        <w:spacing w:after="0"/>
        <w:jc w:val="both"/>
        <w:rPr>
          <w:szCs w:val="18"/>
        </w:rPr>
      </w:pPr>
    </w:p>
    <w:p w:rsidR="004D2BD5" w:rsidRPr="008677C7" w:rsidRDefault="004D2BD5" w:rsidP="004D2BD5">
      <w:pPr>
        <w:spacing w:after="0"/>
        <w:jc w:val="both"/>
        <w:rPr>
          <w:sz w:val="24"/>
          <w:szCs w:val="18"/>
        </w:rPr>
      </w:pPr>
      <w:r w:rsidRPr="008677C7">
        <w:rPr>
          <w:sz w:val="24"/>
          <w:szCs w:val="18"/>
        </w:rPr>
        <w:t xml:space="preserve">W </w:t>
      </w:r>
      <w:r w:rsidR="00B23849">
        <w:rPr>
          <w:sz w:val="24"/>
          <w:szCs w:val="18"/>
        </w:rPr>
        <w:t>czerwcu</w:t>
      </w:r>
      <w:r w:rsidR="00B23849" w:rsidRPr="008677C7">
        <w:rPr>
          <w:sz w:val="24"/>
          <w:szCs w:val="18"/>
        </w:rPr>
        <w:t xml:space="preserve"> </w:t>
      </w:r>
      <w:r>
        <w:rPr>
          <w:sz w:val="24"/>
          <w:szCs w:val="18"/>
        </w:rPr>
        <w:t>2020</w:t>
      </w:r>
      <w:r w:rsidRPr="008677C7">
        <w:rPr>
          <w:sz w:val="24"/>
          <w:szCs w:val="18"/>
        </w:rPr>
        <w:t xml:space="preserve"> r. wypłacono:</w:t>
      </w:r>
    </w:p>
    <w:p w:rsidR="004D2BD5" w:rsidRPr="008677C7" w:rsidRDefault="00B23849" w:rsidP="004D2BD5">
      <w:pPr>
        <w:pStyle w:val="Akapitzlist"/>
        <w:numPr>
          <w:ilvl w:val="0"/>
          <w:numId w:val="2"/>
        </w:numPr>
        <w:spacing w:after="240"/>
        <w:jc w:val="both"/>
        <w:rPr>
          <w:sz w:val="24"/>
          <w:szCs w:val="18"/>
        </w:rPr>
      </w:pPr>
      <w:r>
        <w:rPr>
          <w:sz w:val="24"/>
        </w:rPr>
        <w:t>657,7</w:t>
      </w:r>
      <w:r w:rsidR="004D2BD5" w:rsidRPr="008677C7">
        <w:rPr>
          <w:sz w:val="24"/>
        </w:rPr>
        <w:t xml:space="preserve"> tys. rent z tytułu niezdolności do pracy, co oznacza spadek o </w:t>
      </w:r>
      <w:r w:rsidR="00546592">
        <w:rPr>
          <w:sz w:val="24"/>
        </w:rPr>
        <w:t>44,3</w:t>
      </w:r>
      <w:r w:rsidR="004D2BD5" w:rsidRPr="008677C7">
        <w:rPr>
          <w:sz w:val="24"/>
        </w:rPr>
        <w:t> tys. w</w:t>
      </w:r>
      <w:r w:rsidR="004D2BD5">
        <w:rPr>
          <w:sz w:val="24"/>
        </w:rPr>
        <w:t> </w:t>
      </w:r>
      <w:r w:rsidR="004D2BD5" w:rsidRPr="008677C7">
        <w:rPr>
          <w:sz w:val="24"/>
        </w:rPr>
        <w:t xml:space="preserve">stosunku do </w:t>
      </w:r>
      <w:r w:rsidR="00546592">
        <w:rPr>
          <w:sz w:val="24"/>
        </w:rPr>
        <w:t xml:space="preserve">czerwca </w:t>
      </w:r>
      <w:r w:rsidR="004D2BD5">
        <w:rPr>
          <w:sz w:val="24"/>
        </w:rPr>
        <w:t>20</w:t>
      </w:r>
      <w:r w:rsidR="00546592">
        <w:rPr>
          <w:sz w:val="24"/>
        </w:rPr>
        <w:t>20</w:t>
      </w:r>
      <w:r w:rsidR="004D2BD5" w:rsidRPr="008677C7">
        <w:rPr>
          <w:sz w:val="24"/>
        </w:rPr>
        <w:t xml:space="preserve"> r. wynikający przede wszystkim z</w:t>
      </w:r>
      <w:r w:rsidR="004D2BD5" w:rsidRPr="008677C7">
        <w:rPr>
          <w:rFonts w:eastAsia="Japanese Gothic"/>
          <w:sz w:val="24"/>
          <w:szCs w:val="24"/>
        </w:rPr>
        <w:t xml:space="preserve"> zamian rent z tytułu niezdolności do pracy na emeryturę</w:t>
      </w:r>
      <w:r w:rsidR="004D2BD5">
        <w:rPr>
          <w:rFonts w:eastAsia="Japanese Gothic"/>
          <w:sz w:val="24"/>
          <w:szCs w:val="24"/>
        </w:rPr>
        <w:t>. Liczba zamian rent tytułu niezdolności do pracy na emeryturę w okresie styczeń</w:t>
      </w:r>
      <w:r w:rsidR="00546592">
        <w:rPr>
          <w:rFonts w:eastAsia="Japanese Gothic"/>
          <w:sz w:val="24"/>
          <w:szCs w:val="24"/>
        </w:rPr>
        <w:t xml:space="preserve">–czerwiec </w:t>
      </w:r>
      <w:r w:rsidR="004D2BD5">
        <w:rPr>
          <w:rFonts w:eastAsia="Japanese Gothic"/>
          <w:sz w:val="24"/>
          <w:szCs w:val="24"/>
        </w:rPr>
        <w:t xml:space="preserve">wyniosła </w:t>
      </w:r>
      <w:r w:rsidR="004F4A24">
        <w:rPr>
          <w:rFonts w:eastAsia="Japanese Gothic"/>
          <w:sz w:val="24"/>
          <w:szCs w:val="24"/>
        </w:rPr>
        <w:t>24,0</w:t>
      </w:r>
      <w:r w:rsidR="004D2BD5" w:rsidRPr="004F4A24">
        <w:rPr>
          <w:rFonts w:eastAsia="Japanese Gothic"/>
          <w:sz w:val="24"/>
          <w:szCs w:val="24"/>
        </w:rPr>
        <w:t xml:space="preserve"> tys. osób.</w:t>
      </w:r>
      <w:r w:rsidR="004D2BD5">
        <w:rPr>
          <w:rFonts w:eastAsia="Japanese Gothic"/>
          <w:sz w:val="24"/>
          <w:szCs w:val="24"/>
        </w:rPr>
        <w:t xml:space="preserve"> </w:t>
      </w:r>
    </w:p>
    <w:p w:rsidR="004D2BD5" w:rsidRPr="008677C7" w:rsidRDefault="004D2BD5" w:rsidP="004D2BD5">
      <w:pPr>
        <w:pStyle w:val="Akapitzlist"/>
        <w:numPr>
          <w:ilvl w:val="0"/>
          <w:numId w:val="2"/>
        </w:numPr>
        <w:spacing w:after="240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 </w:t>
      </w:r>
      <w:r w:rsidR="00546592">
        <w:rPr>
          <w:sz w:val="24"/>
          <w:szCs w:val="18"/>
        </w:rPr>
        <w:t>1 204,1</w:t>
      </w:r>
      <w:r w:rsidRPr="008677C7">
        <w:rPr>
          <w:sz w:val="24"/>
          <w:szCs w:val="18"/>
        </w:rPr>
        <w:t xml:space="preserve"> tys. rent rodzinnych, </w:t>
      </w:r>
      <w:r>
        <w:rPr>
          <w:sz w:val="24"/>
          <w:szCs w:val="18"/>
        </w:rPr>
        <w:t>czyli</w:t>
      </w:r>
      <w:r w:rsidRPr="008677C7">
        <w:rPr>
          <w:sz w:val="24"/>
          <w:szCs w:val="18"/>
        </w:rPr>
        <w:t xml:space="preserve"> o </w:t>
      </w:r>
      <w:r w:rsidR="00546592">
        <w:rPr>
          <w:sz w:val="24"/>
          <w:szCs w:val="18"/>
        </w:rPr>
        <w:t>10,0</w:t>
      </w:r>
      <w:r w:rsidRPr="008677C7">
        <w:rPr>
          <w:sz w:val="24"/>
          <w:szCs w:val="18"/>
        </w:rPr>
        <w:t xml:space="preserve"> tys. mniej niż w </w:t>
      </w:r>
      <w:r>
        <w:rPr>
          <w:sz w:val="24"/>
          <w:szCs w:val="18"/>
        </w:rPr>
        <w:t>przed rokiem</w:t>
      </w:r>
      <w:r w:rsidRPr="008677C7">
        <w:rPr>
          <w:sz w:val="24"/>
          <w:szCs w:val="18"/>
        </w:rPr>
        <w:t>.</w:t>
      </w:r>
      <w:r>
        <w:rPr>
          <w:sz w:val="24"/>
          <w:szCs w:val="18"/>
        </w:rPr>
        <w:t xml:space="preserve"> Liczba zamian rent rodzinnych na emerytury w </w:t>
      </w:r>
      <w:r w:rsidR="0040511A">
        <w:rPr>
          <w:sz w:val="24"/>
          <w:szCs w:val="18"/>
        </w:rPr>
        <w:t>pierwszym</w:t>
      </w:r>
      <w:r w:rsidR="00546592">
        <w:rPr>
          <w:sz w:val="24"/>
          <w:szCs w:val="18"/>
        </w:rPr>
        <w:t xml:space="preserve"> </w:t>
      </w:r>
      <w:r w:rsidR="0040511A" w:rsidRPr="00774A89">
        <w:rPr>
          <w:sz w:val="24"/>
          <w:szCs w:val="18"/>
        </w:rPr>
        <w:t>półroczu</w:t>
      </w:r>
      <w:r w:rsidRPr="00774A89">
        <w:rPr>
          <w:sz w:val="24"/>
          <w:szCs w:val="18"/>
        </w:rPr>
        <w:t xml:space="preserve"> 2020 r. </w:t>
      </w:r>
      <w:r w:rsidR="00774A89" w:rsidRPr="00774A89">
        <w:rPr>
          <w:sz w:val="24"/>
          <w:szCs w:val="18"/>
        </w:rPr>
        <w:t>wyniosła 3,3</w:t>
      </w:r>
      <w:r w:rsidRPr="00774A89">
        <w:rPr>
          <w:sz w:val="24"/>
          <w:szCs w:val="18"/>
        </w:rPr>
        <w:t xml:space="preserve"> tys. osób.</w:t>
      </w:r>
    </w:p>
    <w:p w:rsidR="004D2BD5" w:rsidRDefault="004D2BD5" w:rsidP="004D2BD5">
      <w:pPr>
        <w:keepNext/>
        <w:spacing w:before="240" w:after="240"/>
        <w:jc w:val="both"/>
      </w:pPr>
      <w:r w:rsidRPr="00F44956">
        <w:rPr>
          <w:b/>
          <w:noProof/>
          <w:lang w:eastAsia="pl-PL"/>
        </w:rPr>
        <w:drawing>
          <wp:inline distT="0" distB="0" distL="0" distR="0" wp14:anchorId="4819B2E4" wp14:editId="1CF0BC62">
            <wp:extent cx="5934075" cy="20955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D2BD5" w:rsidRPr="005929D1" w:rsidRDefault="004D2BD5" w:rsidP="004D2BD5">
      <w:pPr>
        <w:pStyle w:val="Legenda"/>
        <w:jc w:val="both"/>
        <w:rPr>
          <w:bCs w:val="0"/>
          <w:color w:val="000000"/>
          <w:sz w:val="24"/>
          <w:vertAlign w:val="superscript"/>
        </w:rPr>
      </w:pPr>
      <w:r w:rsidRPr="005929D1">
        <w:rPr>
          <w:b/>
        </w:rPr>
        <w:t xml:space="preserve">Wykres </w:t>
      </w:r>
      <w:r>
        <w:rPr>
          <w:b/>
        </w:rPr>
        <w:t>10</w:t>
      </w:r>
      <w:r w:rsidRPr="005929D1">
        <w:rPr>
          <w:b/>
        </w:rPr>
        <w:t>.</w:t>
      </w:r>
      <w:r>
        <w:t xml:space="preserve"> </w:t>
      </w:r>
      <w:r w:rsidRPr="00180E5F">
        <w:t>Liczba świadczeń rentowych (w tys.)</w:t>
      </w:r>
      <w:r>
        <w:rPr>
          <w:vertAlign w:val="superscript"/>
        </w:rPr>
        <w:t>4</w:t>
      </w:r>
    </w:p>
    <w:p w:rsidR="004D2BD5" w:rsidRPr="008677C7" w:rsidRDefault="004D2BD5" w:rsidP="004D2BD5">
      <w:pPr>
        <w:spacing w:before="240" w:after="240"/>
        <w:jc w:val="both"/>
        <w:rPr>
          <w:bCs/>
          <w:color w:val="000000"/>
          <w:sz w:val="24"/>
        </w:rPr>
      </w:pPr>
      <w:r w:rsidRPr="001F687C">
        <w:rPr>
          <w:bCs/>
          <w:color w:val="000000"/>
          <w:sz w:val="24"/>
        </w:rPr>
        <w:t xml:space="preserve">Przeciętne miesięczne świadczenie emerytalno-rentowe w </w:t>
      </w:r>
      <w:r>
        <w:rPr>
          <w:bCs/>
          <w:color w:val="000000"/>
          <w:sz w:val="24"/>
        </w:rPr>
        <w:t xml:space="preserve">pierwszym </w:t>
      </w:r>
      <w:r w:rsidR="002A068B">
        <w:rPr>
          <w:bCs/>
          <w:color w:val="000000"/>
          <w:sz w:val="24"/>
        </w:rPr>
        <w:t>półroczu</w:t>
      </w:r>
      <w:r w:rsidR="002A068B" w:rsidRPr="001F687C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2020</w:t>
      </w:r>
      <w:r w:rsidRPr="001F687C">
        <w:rPr>
          <w:bCs/>
          <w:color w:val="000000"/>
          <w:sz w:val="24"/>
        </w:rPr>
        <w:t xml:space="preserve"> r.</w:t>
      </w:r>
      <w:r w:rsidRPr="001F687C">
        <w:rPr>
          <w:bCs/>
          <w:color w:val="FF0000"/>
          <w:sz w:val="24"/>
        </w:rPr>
        <w:t xml:space="preserve"> </w:t>
      </w:r>
      <w:r w:rsidRPr="001F687C">
        <w:rPr>
          <w:bCs/>
          <w:sz w:val="24"/>
        </w:rPr>
        <w:t xml:space="preserve">wyniosło </w:t>
      </w:r>
      <w:r w:rsidR="002A068B" w:rsidRPr="002A068B">
        <w:rPr>
          <w:bCs/>
          <w:sz w:val="24"/>
        </w:rPr>
        <w:t>2</w:t>
      </w:r>
      <w:r w:rsidR="002A068B">
        <w:rPr>
          <w:bCs/>
          <w:sz w:val="24"/>
        </w:rPr>
        <w:t> </w:t>
      </w:r>
      <w:r w:rsidR="007A0258">
        <w:rPr>
          <w:bCs/>
          <w:sz w:val="24"/>
        </w:rPr>
        <w:t>359,00</w:t>
      </w:r>
      <w:r w:rsidRPr="001F687C">
        <w:rPr>
          <w:bCs/>
          <w:sz w:val="24"/>
        </w:rPr>
        <w:t> zł</w:t>
      </w:r>
      <w:r w:rsidRPr="001F687C">
        <w:rPr>
          <w:sz w:val="24"/>
          <w:vertAlign w:val="superscript"/>
        </w:rPr>
        <w:footnoteReference w:id="4"/>
      </w:r>
      <w:r w:rsidRPr="001F687C">
        <w:rPr>
          <w:bCs/>
          <w:color w:val="FF0000"/>
          <w:sz w:val="24"/>
        </w:rPr>
        <w:t xml:space="preserve"> </w:t>
      </w:r>
      <w:r w:rsidRPr="001F687C">
        <w:rPr>
          <w:bCs/>
          <w:color w:val="000000"/>
          <w:sz w:val="24"/>
        </w:rPr>
        <w:t xml:space="preserve">i było wyższe o </w:t>
      </w:r>
      <w:r w:rsidR="002A068B">
        <w:rPr>
          <w:bCs/>
          <w:color w:val="000000"/>
          <w:sz w:val="24"/>
        </w:rPr>
        <w:t>5,5</w:t>
      </w:r>
      <w:r w:rsidRPr="001F687C">
        <w:rPr>
          <w:bCs/>
          <w:color w:val="000000"/>
          <w:sz w:val="24"/>
        </w:rPr>
        <w:t>% od wypłacanego</w:t>
      </w:r>
      <w:r>
        <w:rPr>
          <w:bCs/>
          <w:color w:val="000000"/>
          <w:sz w:val="24"/>
        </w:rPr>
        <w:t xml:space="preserve"> w 2019</w:t>
      </w:r>
      <w:r w:rsidRPr="001F687C">
        <w:rPr>
          <w:bCs/>
          <w:color w:val="000000"/>
          <w:sz w:val="24"/>
        </w:rPr>
        <w:t xml:space="preserve"> r. Najważniejszym czynnikiem wpływającym na wysokość świadczeń</w:t>
      </w:r>
      <w:r w:rsidRPr="008677C7">
        <w:rPr>
          <w:bCs/>
          <w:color w:val="000000"/>
          <w:sz w:val="24"/>
        </w:rPr>
        <w:t xml:space="preserve"> niezmiennie jest coroczna waloryzacja – </w:t>
      </w:r>
      <w:r>
        <w:rPr>
          <w:bCs/>
          <w:color w:val="000000"/>
          <w:sz w:val="24"/>
        </w:rPr>
        <w:t>bieżący rok jest drugim z rzędu, kiedy</w:t>
      </w:r>
      <w:r w:rsidRPr="008677C7">
        <w:rPr>
          <w:bCs/>
          <w:color w:val="000000"/>
          <w:sz w:val="24"/>
        </w:rPr>
        <w:t xml:space="preserve"> wskaźnik waloryzacji przekroczył poziom 102,0%. </w:t>
      </w:r>
      <w:r>
        <w:rPr>
          <w:bCs/>
          <w:color w:val="000000"/>
          <w:sz w:val="24"/>
        </w:rPr>
        <w:t>W </w:t>
      </w:r>
      <w:r w:rsidRPr="008677C7">
        <w:rPr>
          <w:bCs/>
          <w:color w:val="000000"/>
          <w:sz w:val="24"/>
        </w:rPr>
        <w:t xml:space="preserve">marcu </w:t>
      </w:r>
      <w:r>
        <w:rPr>
          <w:bCs/>
          <w:color w:val="000000"/>
          <w:sz w:val="24"/>
        </w:rPr>
        <w:t>b</w:t>
      </w:r>
      <w:r w:rsidRPr="008677C7">
        <w:rPr>
          <w:bCs/>
          <w:color w:val="000000"/>
          <w:sz w:val="24"/>
        </w:rPr>
        <w:t>r. przeprowadzono waloryzację świadczeń wskaź</w:t>
      </w:r>
      <w:r>
        <w:rPr>
          <w:bCs/>
          <w:color w:val="000000"/>
          <w:sz w:val="24"/>
        </w:rPr>
        <w:t>nikiem 103,5</w:t>
      </w:r>
      <w:r w:rsidRPr="008677C7">
        <w:rPr>
          <w:bCs/>
          <w:color w:val="000000"/>
          <w:sz w:val="24"/>
        </w:rPr>
        <w:t>6%, nie mniej</w:t>
      </w:r>
      <w:r>
        <w:rPr>
          <w:bCs/>
          <w:color w:val="000000"/>
          <w:sz w:val="24"/>
        </w:rPr>
        <w:t xml:space="preserve"> jednak</w:t>
      </w:r>
      <w:r w:rsidRPr="008677C7">
        <w:rPr>
          <w:bCs/>
          <w:color w:val="000000"/>
          <w:sz w:val="24"/>
        </w:rPr>
        <w:t xml:space="preserve"> niż o kwotę 70,00 zł (</w:t>
      </w:r>
      <w:r w:rsidR="00654246">
        <w:rPr>
          <w:bCs/>
          <w:color w:val="000000"/>
          <w:sz w:val="24"/>
        </w:rPr>
        <w:t>miesięczny</w:t>
      </w:r>
      <w:r w:rsidR="00654246" w:rsidRPr="008677C7">
        <w:rPr>
          <w:bCs/>
          <w:color w:val="000000"/>
          <w:sz w:val="24"/>
        </w:rPr>
        <w:t xml:space="preserve"> </w:t>
      </w:r>
      <w:r w:rsidRPr="008677C7">
        <w:rPr>
          <w:bCs/>
          <w:color w:val="000000"/>
          <w:sz w:val="24"/>
        </w:rPr>
        <w:t>skutek finansowy</w:t>
      </w:r>
      <w:r w:rsidR="00654246">
        <w:rPr>
          <w:bCs/>
          <w:color w:val="000000"/>
          <w:sz w:val="24"/>
        </w:rPr>
        <w:t xml:space="preserve"> to 716,9 mln zł</w:t>
      </w:r>
      <w:r w:rsidRPr="008677C7">
        <w:rPr>
          <w:bCs/>
          <w:color w:val="000000"/>
          <w:sz w:val="24"/>
        </w:rPr>
        <w:t>).</w:t>
      </w:r>
    </w:p>
    <w:p w:rsidR="004D2BD5" w:rsidRDefault="00035867" w:rsidP="004D2BD5">
      <w:pPr>
        <w:keepNext/>
        <w:jc w:val="both"/>
      </w:pPr>
      <w:r w:rsidRPr="00EA10B2">
        <w:rPr>
          <w:noProof/>
          <w:color w:val="000000"/>
          <w:kern w:val="28"/>
          <w:lang w:eastAsia="pl-PL"/>
        </w:rPr>
        <w:drawing>
          <wp:inline distT="0" distB="0" distL="0" distR="0" wp14:anchorId="5A77B020" wp14:editId="3CACA221">
            <wp:extent cx="5904230" cy="1698745"/>
            <wp:effectExtent l="0" t="0" r="127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D2BD5" w:rsidRPr="00D3226F" w:rsidRDefault="004D2BD5" w:rsidP="004D2BD5">
      <w:pPr>
        <w:pStyle w:val="Legenda"/>
        <w:jc w:val="both"/>
        <w:rPr>
          <w:bCs w:val="0"/>
          <w:color w:val="000000"/>
        </w:rPr>
      </w:pPr>
      <w:r w:rsidRPr="005929D1">
        <w:rPr>
          <w:b/>
        </w:rPr>
        <w:t xml:space="preserve">Wykres </w:t>
      </w:r>
      <w:r>
        <w:rPr>
          <w:b/>
        </w:rPr>
        <w:t>11</w:t>
      </w:r>
      <w:r w:rsidRPr="005929D1">
        <w:rPr>
          <w:b/>
        </w:rPr>
        <w:t>.</w:t>
      </w:r>
      <w:r>
        <w:t xml:space="preserve"> </w:t>
      </w:r>
      <w:r w:rsidRPr="00472C1C">
        <w:t>Przeciętna wysokość bieżąca świadczeń emerytalnych (w zł)</w:t>
      </w:r>
    </w:p>
    <w:p w:rsidR="005A14CD" w:rsidRPr="008677C7" w:rsidRDefault="007F7716" w:rsidP="00EA5CC8">
      <w:pPr>
        <w:spacing w:before="120" w:after="120"/>
        <w:jc w:val="both"/>
        <w:rPr>
          <w:sz w:val="24"/>
        </w:rPr>
      </w:pPr>
      <w:r>
        <w:rPr>
          <w:sz w:val="24"/>
        </w:rPr>
        <w:lastRenderedPageBreak/>
        <w:t>Pozostałe</w:t>
      </w:r>
      <w:r w:rsidR="00E00157" w:rsidRPr="008677C7">
        <w:rPr>
          <w:sz w:val="24"/>
        </w:rPr>
        <w:t xml:space="preserve"> świadczenia</w:t>
      </w:r>
      <w:r>
        <w:rPr>
          <w:sz w:val="24"/>
        </w:rPr>
        <w:t xml:space="preserve"> wypłacane z FUS</w:t>
      </w:r>
      <w:r w:rsidR="00287489" w:rsidRPr="008677C7">
        <w:rPr>
          <w:sz w:val="24"/>
        </w:rPr>
        <w:t xml:space="preserve"> w </w:t>
      </w:r>
      <w:r>
        <w:rPr>
          <w:sz w:val="24"/>
        </w:rPr>
        <w:t>pierwszym półroczu</w:t>
      </w:r>
      <w:r w:rsidR="00072F6E">
        <w:rPr>
          <w:sz w:val="24"/>
        </w:rPr>
        <w:t xml:space="preserve"> 20</w:t>
      </w:r>
      <w:r w:rsidR="00B96EE8">
        <w:rPr>
          <w:sz w:val="24"/>
        </w:rPr>
        <w:t>20</w:t>
      </w:r>
      <w:r w:rsidR="00072F6E">
        <w:rPr>
          <w:sz w:val="24"/>
        </w:rPr>
        <w:t> </w:t>
      </w:r>
      <w:r w:rsidR="00E00157" w:rsidRPr="008677C7">
        <w:rPr>
          <w:sz w:val="24"/>
        </w:rPr>
        <w:t xml:space="preserve">r. </w:t>
      </w:r>
      <w:r w:rsidR="001B1E44">
        <w:rPr>
          <w:sz w:val="24"/>
        </w:rPr>
        <w:t>osiągnęł</w:t>
      </w:r>
      <w:r w:rsidR="009565BE">
        <w:rPr>
          <w:sz w:val="24"/>
        </w:rPr>
        <w:t xml:space="preserve">y </w:t>
      </w:r>
      <w:r w:rsidR="00460367">
        <w:rPr>
          <w:sz w:val="24"/>
        </w:rPr>
        <w:t>ponad</w:t>
      </w:r>
      <w:r w:rsidR="00C77AFB" w:rsidRPr="008677C7">
        <w:rPr>
          <w:sz w:val="24"/>
        </w:rPr>
        <w:t xml:space="preserve"> </w:t>
      </w:r>
      <w:r w:rsidR="00654246">
        <w:rPr>
          <w:sz w:val="24"/>
        </w:rPr>
        <w:t>15,3</w:t>
      </w:r>
      <w:r w:rsidR="00E00157" w:rsidRPr="008677C7">
        <w:rPr>
          <w:sz w:val="24"/>
        </w:rPr>
        <w:t> mld zł</w:t>
      </w:r>
      <w:r w:rsidR="00C77AFB" w:rsidRPr="008677C7">
        <w:rPr>
          <w:sz w:val="24"/>
        </w:rPr>
        <w:t>, co stanowi</w:t>
      </w:r>
      <w:r w:rsidR="00E00157" w:rsidRPr="008677C7">
        <w:rPr>
          <w:sz w:val="24"/>
        </w:rPr>
        <w:t xml:space="preserve"> </w:t>
      </w:r>
      <w:r w:rsidR="00654246">
        <w:rPr>
          <w:sz w:val="24"/>
        </w:rPr>
        <w:t>55,1</w:t>
      </w:r>
      <w:r w:rsidR="00E00157" w:rsidRPr="008677C7">
        <w:rPr>
          <w:sz w:val="24"/>
        </w:rPr>
        <w:t>% planu</w:t>
      </w:r>
      <w:r w:rsidR="00287489" w:rsidRPr="005D5B96">
        <w:rPr>
          <w:sz w:val="24"/>
        </w:rPr>
        <w:t>.</w:t>
      </w:r>
      <w:r w:rsidR="00E00157" w:rsidRPr="005D5B96">
        <w:rPr>
          <w:sz w:val="24"/>
        </w:rPr>
        <w:t xml:space="preserve"> </w:t>
      </w:r>
      <w:r w:rsidR="00654246">
        <w:rPr>
          <w:sz w:val="24"/>
        </w:rPr>
        <w:t xml:space="preserve"> </w:t>
      </w:r>
      <w:r w:rsidR="00654246" w:rsidRPr="003B56ED">
        <w:rPr>
          <w:rFonts w:eastAsia="Japanese Gothic"/>
          <w:sz w:val="24"/>
          <w:szCs w:val="24"/>
        </w:rPr>
        <w:t>Były one wyższe o 20,3% w porównaniu do analogicznego okresu ubiegłego roku</w:t>
      </w:r>
      <w:r w:rsidR="00654246" w:rsidRPr="006673AF">
        <w:rPr>
          <w:rFonts w:eastAsia="Japanese Gothic"/>
          <w:sz w:val="24"/>
          <w:szCs w:val="24"/>
        </w:rPr>
        <w:t>, głównie w wyniku wzrostu wypłat za</w:t>
      </w:r>
      <w:r w:rsidR="00F54610">
        <w:rPr>
          <w:rFonts w:eastAsia="Japanese Gothic"/>
          <w:sz w:val="24"/>
          <w:szCs w:val="24"/>
        </w:rPr>
        <w:t>siłków opiekuńczych w związku z </w:t>
      </w:r>
      <w:r w:rsidR="00654246" w:rsidRPr="006673AF">
        <w:rPr>
          <w:rFonts w:eastAsia="Japanese Gothic"/>
          <w:sz w:val="24"/>
          <w:szCs w:val="24"/>
        </w:rPr>
        <w:t>wprowadzeniem dodatkowego zasiłku opiekuńczego przysługującego ubezpieczonym, którzy mus</w:t>
      </w:r>
      <w:r>
        <w:rPr>
          <w:rFonts w:eastAsia="Japanese Gothic"/>
          <w:sz w:val="24"/>
          <w:szCs w:val="24"/>
        </w:rPr>
        <w:t>ieli</w:t>
      </w:r>
      <w:r w:rsidR="00654246" w:rsidRPr="006673AF">
        <w:rPr>
          <w:rFonts w:eastAsia="Japanese Gothic"/>
          <w:sz w:val="24"/>
          <w:szCs w:val="24"/>
        </w:rPr>
        <w:t xml:space="preserve"> zająć się dzieckiem do lat 8 z powodu zamknięcia żłobka, klubu dziecięcego, przedszkola lub szkoły z powodu COVID-19.</w:t>
      </w:r>
      <w:r w:rsidR="00654246">
        <w:rPr>
          <w:rFonts w:eastAsia="Japanese Gothic"/>
          <w:sz w:val="24"/>
          <w:szCs w:val="24"/>
        </w:rPr>
        <w:t xml:space="preserve"> Wydatki </w:t>
      </w:r>
      <w:r w:rsidR="00654246" w:rsidRPr="006673AF">
        <w:rPr>
          <w:rFonts w:eastAsia="Japanese Gothic"/>
          <w:sz w:val="24"/>
          <w:szCs w:val="24"/>
        </w:rPr>
        <w:t>na zasiłki</w:t>
      </w:r>
      <w:r>
        <w:rPr>
          <w:rFonts w:eastAsia="Japanese Gothic"/>
          <w:sz w:val="24"/>
          <w:szCs w:val="24"/>
        </w:rPr>
        <w:t xml:space="preserve"> opiekuńcze</w:t>
      </w:r>
      <w:r w:rsidR="00654246" w:rsidRPr="006673AF">
        <w:rPr>
          <w:rFonts w:eastAsia="Japanese Gothic"/>
          <w:sz w:val="24"/>
          <w:szCs w:val="24"/>
        </w:rPr>
        <w:t xml:space="preserve"> wyniosły 2,2 mld zł, tj. </w:t>
      </w:r>
      <w:r w:rsidR="00654246">
        <w:rPr>
          <w:rFonts w:eastAsia="Japanese Gothic"/>
          <w:sz w:val="24"/>
          <w:szCs w:val="24"/>
        </w:rPr>
        <w:t>1</w:t>
      </w:r>
      <w:r w:rsidR="00654246" w:rsidRPr="006673AF">
        <w:rPr>
          <w:rFonts w:eastAsia="Japanese Gothic"/>
          <w:sz w:val="24"/>
          <w:szCs w:val="24"/>
        </w:rPr>
        <w:t>90,7% planu, i wzrosły o 252,4% w porównaniu do analogicznego okresu ubiegłego roku.</w:t>
      </w:r>
    </w:p>
    <w:p w:rsidR="00BF1B3D" w:rsidRDefault="00E00157" w:rsidP="00BF1B3D">
      <w:pPr>
        <w:keepNext/>
        <w:jc w:val="both"/>
      </w:pPr>
      <w:r w:rsidRPr="00E00157">
        <w:rPr>
          <w:noProof/>
          <w:lang w:eastAsia="pl-PL"/>
        </w:rPr>
        <w:drawing>
          <wp:inline distT="0" distB="0" distL="0" distR="0" wp14:anchorId="45D4920C" wp14:editId="06F3A9D5">
            <wp:extent cx="5753819" cy="2260121"/>
            <wp:effectExtent l="0" t="0" r="0" b="6985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F1B3D" w:rsidRPr="009F78B2" w:rsidRDefault="00BF1B3D" w:rsidP="00BF1B3D">
      <w:pPr>
        <w:pStyle w:val="Legenda"/>
        <w:jc w:val="both"/>
      </w:pPr>
      <w:r w:rsidRPr="009F78B2">
        <w:rPr>
          <w:b/>
        </w:rPr>
        <w:t xml:space="preserve">Wykres </w:t>
      </w:r>
      <w:r w:rsidR="00A233E1">
        <w:rPr>
          <w:b/>
        </w:rPr>
        <w:t>12</w:t>
      </w:r>
      <w:r w:rsidRPr="009F78B2">
        <w:rPr>
          <w:b/>
        </w:rPr>
        <w:t xml:space="preserve">. </w:t>
      </w:r>
      <w:r w:rsidRPr="009F78B2">
        <w:t xml:space="preserve">Wydatki na pozostałe świadczenia </w:t>
      </w:r>
      <w:r w:rsidR="00717996">
        <w:t xml:space="preserve">FUS </w:t>
      </w:r>
      <w:r w:rsidRPr="009F78B2">
        <w:t>(w mld zł)</w:t>
      </w:r>
    </w:p>
    <w:p w:rsidR="00072F6E" w:rsidRDefault="00E00157" w:rsidP="00E00157">
      <w:pPr>
        <w:jc w:val="both"/>
        <w:rPr>
          <w:sz w:val="24"/>
        </w:rPr>
      </w:pPr>
      <w:r w:rsidRPr="008677C7">
        <w:rPr>
          <w:sz w:val="24"/>
        </w:rPr>
        <w:t xml:space="preserve">W ogólnej </w:t>
      </w:r>
      <w:r w:rsidRPr="00420C5A">
        <w:rPr>
          <w:sz w:val="24"/>
        </w:rPr>
        <w:t xml:space="preserve">kwocie pozostałych świadczeń dominują wydatki na zasiłki chorobowe oraz </w:t>
      </w:r>
      <w:r w:rsidR="00E63711">
        <w:rPr>
          <w:sz w:val="24"/>
        </w:rPr>
        <w:t xml:space="preserve">na </w:t>
      </w:r>
      <w:r w:rsidRPr="00420C5A">
        <w:rPr>
          <w:sz w:val="24"/>
        </w:rPr>
        <w:t xml:space="preserve">zasiłki macierzyńskie. </w:t>
      </w:r>
      <w:r w:rsidR="000B2F87">
        <w:rPr>
          <w:sz w:val="24"/>
        </w:rPr>
        <w:t>Wydatki na z</w:t>
      </w:r>
      <w:r w:rsidRPr="00420C5A">
        <w:rPr>
          <w:sz w:val="24"/>
        </w:rPr>
        <w:t xml:space="preserve">asiłki chorobowe </w:t>
      </w:r>
      <w:r w:rsidR="00420C5A">
        <w:rPr>
          <w:sz w:val="24"/>
        </w:rPr>
        <w:t xml:space="preserve">w </w:t>
      </w:r>
      <w:r w:rsidR="00F915C4">
        <w:rPr>
          <w:sz w:val="24"/>
        </w:rPr>
        <w:t>okresie styczeń–</w:t>
      </w:r>
      <w:r w:rsidR="00D72411">
        <w:rPr>
          <w:sz w:val="24"/>
        </w:rPr>
        <w:t xml:space="preserve">czerwiec </w:t>
      </w:r>
      <w:r w:rsidR="00420C5A">
        <w:rPr>
          <w:sz w:val="24"/>
        </w:rPr>
        <w:t>20</w:t>
      </w:r>
      <w:r w:rsidR="00460367">
        <w:rPr>
          <w:sz w:val="24"/>
        </w:rPr>
        <w:t>20</w:t>
      </w:r>
      <w:r w:rsidR="00420C5A">
        <w:rPr>
          <w:sz w:val="24"/>
        </w:rPr>
        <w:t xml:space="preserve"> r. </w:t>
      </w:r>
      <w:r w:rsidR="001113ED">
        <w:rPr>
          <w:sz w:val="24"/>
        </w:rPr>
        <w:t xml:space="preserve">wyniosły </w:t>
      </w:r>
      <w:r w:rsidR="00D72411">
        <w:rPr>
          <w:sz w:val="24"/>
        </w:rPr>
        <w:t>6,6</w:t>
      </w:r>
      <w:r w:rsidR="001113ED">
        <w:rPr>
          <w:sz w:val="24"/>
        </w:rPr>
        <w:t xml:space="preserve"> mld zł i </w:t>
      </w:r>
      <w:r w:rsidR="00420C5A">
        <w:rPr>
          <w:sz w:val="24"/>
        </w:rPr>
        <w:t xml:space="preserve">wzrosły </w:t>
      </w:r>
      <w:r w:rsidRPr="008677C7">
        <w:rPr>
          <w:sz w:val="24"/>
        </w:rPr>
        <w:t xml:space="preserve">o </w:t>
      </w:r>
      <w:r w:rsidR="00D72411">
        <w:rPr>
          <w:sz w:val="24"/>
        </w:rPr>
        <w:t>12,1</w:t>
      </w:r>
      <w:r w:rsidRPr="008677C7">
        <w:rPr>
          <w:sz w:val="24"/>
        </w:rPr>
        <w:t xml:space="preserve">% w porównaniu do </w:t>
      </w:r>
      <w:r w:rsidR="000B2F87">
        <w:rPr>
          <w:sz w:val="24"/>
        </w:rPr>
        <w:t>wypłaconych przed rokiem</w:t>
      </w:r>
      <w:r w:rsidRPr="008677C7">
        <w:rPr>
          <w:sz w:val="24"/>
        </w:rPr>
        <w:t>.</w:t>
      </w:r>
      <w:r w:rsidR="00420C5A">
        <w:rPr>
          <w:sz w:val="24"/>
        </w:rPr>
        <w:t xml:space="preserve"> </w:t>
      </w:r>
      <w:r w:rsidR="00D72411" w:rsidRPr="00D72411">
        <w:rPr>
          <w:sz w:val="24"/>
        </w:rPr>
        <w:t>– wzrost ten był związany z zachorowaniami na COVID-19 lub podejrzeniem tej choroby.</w:t>
      </w:r>
      <w:r w:rsidR="00420C5A">
        <w:rPr>
          <w:sz w:val="24"/>
        </w:rPr>
        <w:t xml:space="preserve"> </w:t>
      </w:r>
      <w:r w:rsidR="00460367">
        <w:rPr>
          <w:rFonts w:eastAsia="Japanese Gothic"/>
          <w:sz w:val="24"/>
          <w:szCs w:val="24"/>
        </w:rPr>
        <w:t>Liczba dni, w</w:t>
      </w:r>
      <w:r w:rsidR="00FB3DED">
        <w:rPr>
          <w:rFonts w:eastAsia="Japanese Gothic"/>
          <w:sz w:val="24"/>
          <w:szCs w:val="24"/>
        </w:rPr>
        <w:t> </w:t>
      </w:r>
      <w:r w:rsidR="00460367">
        <w:rPr>
          <w:rFonts w:eastAsia="Japanese Gothic"/>
          <w:sz w:val="24"/>
          <w:szCs w:val="24"/>
        </w:rPr>
        <w:t xml:space="preserve">których są pobierane zasiłki chorobowe, była </w:t>
      </w:r>
      <w:r w:rsidR="00D72411" w:rsidRPr="00D72411">
        <w:rPr>
          <w:sz w:val="24"/>
        </w:rPr>
        <w:t xml:space="preserve">wyższa o 4,0% </w:t>
      </w:r>
      <w:r w:rsidR="00460367">
        <w:rPr>
          <w:rFonts w:eastAsia="Japanese Gothic"/>
          <w:sz w:val="24"/>
          <w:szCs w:val="24"/>
        </w:rPr>
        <w:t xml:space="preserve">w porównaniu do pierwszego </w:t>
      </w:r>
      <w:r w:rsidR="00D72411" w:rsidRPr="00D72411">
        <w:rPr>
          <w:sz w:val="24"/>
        </w:rPr>
        <w:t xml:space="preserve">półrocza </w:t>
      </w:r>
      <w:r w:rsidR="00460367">
        <w:rPr>
          <w:rFonts w:eastAsia="Japanese Gothic"/>
          <w:sz w:val="24"/>
          <w:szCs w:val="24"/>
        </w:rPr>
        <w:t>ubiegłego roku</w:t>
      </w:r>
      <w:r w:rsidR="007F7716">
        <w:rPr>
          <w:rFonts w:eastAsia="Japanese Gothic"/>
          <w:sz w:val="24"/>
          <w:szCs w:val="24"/>
        </w:rPr>
        <w:t>, natomiast p</w:t>
      </w:r>
      <w:r w:rsidR="007F7716">
        <w:rPr>
          <w:sz w:val="24"/>
        </w:rPr>
        <w:t>rzeciętna dzienna wysokość wypłacanego zasiłku wzrosła rok do roku o 7,8%.</w:t>
      </w:r>
    </w:p>
    <w:p w:rsidR="007F7716" w:rsidRPr="007F7716" w:rsidRDefault="00072F6E" w:rsidP="007F7716">
      <w:pPr>
        <w:spacing w:before="120"/>
        <w:jc w:val="both"/>
        <w:rPr>
          <w:sz w:val="24"/>
        </w:rPr>
      </w:pPr>
      <w:r>
        <w:rPr>
          <w:sz w:val="24"/>
        </w:rPr>
        <w:t>W</w:t>
      </w:r>
      <w:r w:rsidR="00E00157" w:rsidRPr="008677C7">
        <w:rPr>
          <w:sz w:val="24"/>
        </w:rPr>
        <w:t>ydatki na zasiłki macierzyńskie</w:t>
      </w:r>
      <w:r w:rsidR="001113ED">
        <w:rPr>
          <w:sz w:val="24"/>
        </w:rPr>
        <w:t xml:space="preserve"> </w:t>
      </w:r>
      <w:r w:rsidR="00F74327">
        <w:rPr>
          <w:sz w:val="24"/>
        </w:rPr>
        <w:t xml:space="preserve">wyniosły </w:t>
      </w:r>
      <w:r w:rsidR="00D72411">
        <w:rPr>
          <w:sz w:val="24"/>
        </w:rPr>
        <w:t>4,4</w:t>
      </w:r>
      <w:r w:rsidR="00F74327">
        <w:rPr>
          <w:sz w:val="24"/>
        </w:rPr>
        <w:t xml:space="preserve"> mld zł </w:t>
      </w:r>
      <w:r w:rsidR="001113ED">
        <w:rPr>
          <w:sz w:val="24"/>
        </w:rPr>
        <w:t>i</w:t>
      </w:r>
      <w:r w:rsidR="00E00157" w:rsidRPr="008677C7">
        <w:rPr>
          <w:sz w:val="24"/>
        </w:rPr>
        <w:t xml:space="preserve"> </w:t>
      </w:r>
      <w:r w:rsidR="000B2F87">
        <w:rPr>
          <w:sz w:val="24"/>
        </w:rPr>
        <w:t>wzrosły</w:t>
      </w:r>
      <w:r w:rsidR="00E00157" w:rsidRPr="008677C7">
        <w:rPr>
          <w:sz w:val="24"/>
        </w:rPr>
        <w:t xml:space="preserve"> o</w:t>
      </w:r>
      <w:r w:rsidR="000B2F87">
        <w:rPr>
          <w:sz w:val="24"/>
        </w:rPr>
        <w:t xml:space="preserve"> </w:t>
      </w:r>
      <w:r w:rsidR="00D72411">
        <w:rPr>
          <w:sz w:val="24"/>
        </w:rPr>
        <w:t>5,1</w:t>
      </w:r>
      <w:r>
        <w:rPr>
          <w:sz w:val="24"/>
        </w:rPr>
        <w:t>%</w:t>
      </w:r>
      <w:r w:rsidR="000B2F87">
        <w:rPr>
          <w:sz w:val="24"/>
        </w:rPr>
        <w:t xml:space="preserve"> r/r</w:t>
      </w:r>
      <w:r w:rsidR="007F7716" w:rsidRPr="007F7716">
        <w:rPr>
          <w:sz w:val="24"/>
        </w:rPr>
        <w:t xml:space="preserve">, głównie w wyniku wzrostu przeciętnej wysokości zasiłku o 8,4%. </w:t>
      </w:r>
    </w:p>
    <w:p w:rsidR="00BF1B3D" w:rsidRDefault="00BF1B3D" w:rsidP="007F7716">
      <w:pPr>
        <w:jc w:val="both"/>
      </w:pPr>
      <w:r w:rsidRPr="00F44956">
        <w:rPr>
          <w:b/>
          <w:noProof/>
          <w:lang w:eastAsia="pl-PL"/>
        </w:rPr>
        <w:drawing>
          <wp:inline distT="0" distB="0" distL="0" distR="0" wp14:anchorId="54487BF1" wp14:editId="7BC7A63D">
            <wp:extent cx="5964382" cy="2008909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546F1" w:rsidRPr="005D5B96" w:rsidRDefault="00BF1B3D" w:rsidP="00BF1B3D">
      <w:pPr>
        <w:pStyle w:val="Legenda"/>
        <w:jc w:val="both"/>
      </w:pPr>
      <w:r w:rsidRPr="005D5B96">
        <w:rPr>
          <w:b/>
        </w:rPr>
        <w:t xml:space="preserve">Wykres </w:t>
      </w:r>
      <w:r w:rsidR="00FC7660">
        <w:rPr>
          <w:b/>
        </w:rPr>
        <w:t>1</w:t>
      </w:r>
      <w:r w:rsidR="00A233E1">
        <w:rPr>
          <w:b/>
        </w:rPr>
        <w:t>3</w:t>
      </w:r>
      <w:r w:rsidRPr="005D5B96">
        <w:rPr>
          <w:b/>
        </w:rPr>
        <w:t>.</w:t>
      </w:r>
      <w:r w:rsidRPr="005D5B96">
        <w:t xml:space="preserve"> Przeciętna dzienna wysokość zasiłków chorobowego i macierzyńskiego (w zł)</w:t>
      </w:r>
    </w:p>
    <w:p w:rsidR="00CA7548" w:rsidRPr="008677C7" w:rsidRDefault="00D55D99" w:rsidP="00DC703F">
      <w:pPr>
        <w:spacing w:before="120" w:after="120"/>
        <w:jc w:val="both"/>
        <w:rPr>
          <w:sz w:val="24"/>
        </w:rPr>
      </w:pPr>
      <w:r w:rsidRPr="008677C7">
        <w:rPr>
          <w:sz w:val="24"/>
        </w:rPr>
        <w:lastRenderedPageBreak/>
        <w:t>N</w:t>
      </w:r>
      <w:r w:rsidR="00CA7548" w:rsidRPr="008677C7">
        <w:rPr>
          <w:sz w:val="24"/>
        </w:rPr>
        <w:t xml:space="preserve">a koniec </w:t>
      </w:r>
      <w:r w:rsidR="00C83E74" w:rsidRPr="008677C7">
        <w:rPr>
          <w:sz w:val="24"/>
        </w:rPr>
        <w:t xml:space="preserve">omawianego </w:t>
      </w:r>
      <w:r w:rsidR="00CA7548" w:rsidRPr="008677C7">
        <w:rPr>
          <w:sz w:val="24"/>
        </w:rPr>
        <w:t>okresu</w:t>
      </w:r>
      <w:r w:rsidRPr="008677C7">
        <w:rPr>
          <w:sz w:val="24"/>
        </w:rPr>
        <w:t xml:space="preserve"> stan funduszu </w:t>
      </w:r>
      <w:r w:rsidR="00E339BC">
        <w:rPr>
          <w:sz w:val="24"/>
        </w:rPr>
        <w:t xml:space="preserve">wyniósł </w:t>
      </w:r>
      <w:r w:rsidR="007F7716">
        <w:rPr>
          <w:sz w:val="24"/>
        </w:rPr>
        <w:t>13,6</w:t>
      </w:r>
      <w:r w:rsidR="00E339BC">
        <w:rPr>
          <w:sz w:val="24"/>
        </w:rPr>
        <w:t xml:space="preserve"> mld zł, na co złożyły się </w:t>
      </w:r>
      <w:r w:rsidR="00E339BC" w:rsidRPr="00E339BC">
        <w:rPr>
          <w:sz w:val="24"/>
        </w:rPr>
        <w:t xml:space="preserve">środki pieniężne </w:t>
      </w:r>
      <w:r w:rsidR="00E339BC">
        <w:rPr>
          <w:sz w:val="24"/>
        </w:rPr>
        <w:t>w kwocie</w:t>
      </w:r>
      <w:r w:rsidR="00E339BC" w:rsidRPr="00E339BC">
        <w:rPr>
          <w:sz w:val="24"/>
        </w:rPr>
        <w:t xml:space="preserve"> </w:t>
      </w:r>
      <w:r w:rsidR="004A1D75">
        <w:rPr>
          <w:sz w:val="24"/>
        </w:rPr>
        <w:t>4</w:t>
      </w:r>
      <w:r w:rsidR="00E22E34">
        <w:rPr>
          <w:sz w:val="24"/>
        </w:rPr>
        <w:t>,0</w:t>
      </w:r>
      <w:r w:rsidR="00E339BC" w:rsidRPr="00E339BC">
        <w:rPr>
          <w:sz w:val="24"/>
        </w:rPr>
        <w:t xml:space="preserve"> mld zł, należności </w:t>
      </w:r>
      <w:r w:rsidR="00E339BC">
        <w:rPr>
          <w:sz w:val="24"/>
        </w:rPr>
        <w:t xml:space="preserve">w wysokości </w:t>
      </w:r>
      <w:r w:rsidR="007F7716">
        <w:rPr>
          <w:sz w:val="24"/>
        </w:rPr>
        <w:t>16,9</w:t>
      </w:r>
      <w:r w:rsidR="00E339BC" w:rsidRPr="00E339BC">
        <w:rPr>
          <w:sz w:val="24"/>
        </w:rPr>
        <w:t xml:space="preserve"> mld zł </w:t>
      </w:r>
      <w:r w:rsidR="00E339BC">
        <w:rPr>
          <w:sz w:val="24"/>
        </w:rPr>
        <w:t xml:space="preserve">oraz </w:t>
      </w:r>
      <w:r w:rsidR="00E339BC" w:rsidRPr="00E339BC">
        <w:rPr>
          <w:sz w:val="24"/>
        </w:rPr>
        <w:t xml:space="preserve">zobowiązania </w:t>
      </w:r>
      <w:r w:rsidR="00E339BC">
        <w:rPr>
          <w:sz w:val="24"/>
        </w:rPr>
        <w:t xml:space="preserve">na kwotę </w:t>
      </w:r>
      <w:r w:rsidR="007F7716">
        <w:rPr>
          <w:sz w:val="24"/>
        </w:rPr>
        <w:t>7,3</w:t>
      </w:r>
      <w:r w:rsidR="00E339BC" w:rsidRPr="00E339BC">
        <w:rPr>
          <w:sz w:val="24"/>
        </w:rPr>
        <w:t xml:space="preserve"> mld zł</w:t>
      </w:r>
      <w:r w:rsidR="00F03236">
        <w:rPr>
          <w:sz w:val="24"/>
        </w:rPr>
        <w:t>.</w:t>
      </w:r>
      <w:r w:rsidR="00E339BC" w:rsidRPr="00E339BC">
        <w:rPr>
          <w:sz w:val="24"/>
        </w:rPr>
        <w:t xml:space="preserve"> </w:t>
      </w:r>
      <w:r w:rsidR="006E61C7">
        <w:rPr>
          <w:sz w:val="24"/>
        </w:rPr>
        <w:t xml:space="preserve">Należy podkreślić, że </w:t>
      </w:r>
      <w:r w:rsidR="006E61C7" w:rsidRPr="006E61C7">
        <w:rPr>
          <w:sz w:val="24"/>
        </w:rPr>
        <w:t>fundusz</w:t>
      </w:r>
      <w:r w:rsidR="00D71F4F">
        <w:rPr>
          <w:sz w:val="24"/>
        </w:rPr>
        <w:t xml:space="preserve"> nie </w:t>
      </w:r>
      <w:r w:rsidR="006E61C7">
        <w:rPr>
          <w:sz w:val="24"/>
        </w:rPr>
        <w:t xml:space="preserve">posiada żadnych zobowiązań z tytułu </w:t>
      </w:r>
      <w:r w:rsidR="006E61C7" w:rsidRPr="006E61C7">
        <w:rPr>
          <w:sz w:val="24"/>
        </w:rPr>
        <w:t>pożyczek z</w:t>
      </w:r>
      <w:r w:rsidR="00A52105">
        <w:rPr>
          <w:sz w:val="24"/>
        </w:rPr>
        <w:t> </w:t>
      </w:r>
      <w:r w:rsidR="006E61C7" w:rsidRPr="006E61C7">
        <w:rPr>
          <w:sz w:val="24"/>
        </w:rPr>
        <w:t>budżetu państwa, jak również</w:t>
      </w:r>
      <w:r w:rsidR="00E63711">
        <w:rPr>
          <w:sz w:val="24"/>
        </w:rPr>
        <w:t xml:space="preserve"> z tytułu</w:t>
      </w:r>
      <w:r w:rsidR="006E61C7" w:rsidRPr="006E61C7">
        <w:rPr>
          <w:sz w:val="24"/>
        </w:rPr>
        <w:t xml:space="preserve"> kredytów.</w:t>
      </w:r>
      <w:r w:rsidR="006E61C7">
        <w:rPr>
          <w:sz w:val="24"/>
        </w:rPr>
        <w:t xml:space="preserve"> </w:t>
      </w:r>
    </w:p>
    <w:p w:rsidR="005D5B96" w:rsidRDefault="00CD49E0" w:rsidP="005D5B96">
      <w:pPr>
        <w:keepNext/>
        <w:jc w:val="both"/>
      </w:pPr>
      <w:r w:rsidRPr="00EA10B2">
        <w:rPr>
          <w:noProof/>
          <w:lang w:eastAsia="pl-PL"/>
        </w:rPr>
        <w:drawing>
          <wp:inline distT="0" distB="0" distL="0" distR="0" wp14:anchorId="79BEBFA6" wp14:editId="25CB301A">
            <wp:extent cx="5943600" cy="241935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D49E0" w:rsidRPr="00D3226F" w:rsidRDefault="005D5B96" w:rsidP="005D5B96">
      <w:pPr>
        <w:pStyle w:val="Legenda"/>
        <w:jc w:val="both"/>
      </w:pPr>
      <w:r w:rsidRPr="005D5B96">
        <w:rPr>
          <w:b/>
        </w:rPr>
        <w:t xml:space="preserve">Wykres </w:t>
      </w:r>
      <w:r w:rsidR="00A233E1">
        <w:rPr>
          <w:b/>
        </w:rPr>
        <w:t>4</w:t>
      </w:r>
      <w:r w:rsidRPr="005D5B96">
        <w:rPr>
          <w:b/>
        </w:rPr>
        <w:t>.</w:t>
      </w:r>
      <w:r>
        <w:t xml:space="preserve"> </w:t>
      </w:r>
      <w:r w:rsidRPr="00752045">
        <w:t>Stan FUS na koniec okresu (w mld zł)</w:t>
      </w:r>
    </w:p>
    <w:p w:rsidR="000D4E55" w:rsidRPr="00D3226F" w:rsidRDefault="000D4E55" w:rsidP="00DC703F">
      <w:pPr>
        <w:spacing w:before="120" w:after="120"/>
        <w:rPr>
          <w:color w:val="000000"/>
        </w:rPr>
      </w:pPr>
    </w:p>
    <w:p w:rsidR="00B95D1D" w:rsidRDefault="00B95D1D" w:rsidP="00B95D1D">
      <w:pPr>
        <w:spacing w:before="120" w:after="0"/>
        <w:ind w:left="1416" w:firstLine="708"/>
        <w:rPr>
          <w:sz w:val="24"/>
        </w:rPr>
      </w:pPr>
      <w:r w:rsidRPr="008677C7">
        <w:rPr>
          <w:sz w:val="24"/>
        </w:rPr>
        <w:t xml:space="preserve">Opracował Wydział Planowania w Departamencie Finansów Funduszy </w:t>
      </w:r>
    </w:p>
    <w:p w:rsidR="00F915C4" w:rsidRDefault="00F915C4" w:rsidP="00B95D1D">
      <w:pPr>
        <w:spacing w:before="120" w:after="0"/>
        <w:ind w:left="1416" w:firstLine="708"/>
        <w:rPr>
          <w:sz w:val="24"/>
        </w:rPr>
      </w:pPr>
    </w:p>
    <w:p w:rsidR="00B95D1D" w:rsidRDefault="00B95D1D" w:rsidP="00B95D1D">
      <w:pPr>
        <w:spacing w:before="120" w:after="0"/>
        <w:jc w:val="right"/>
        <w:rPr>
          <w:sz w:val="24"/>
        </w:rPr>
      </w:pPr>
    </w:p>
    <w:p w:rsidR="00B95D1D" w:rsidRDefault="00B95D1D" w:rsidP="00B95D1D">
      <w:pPr>
        <w:spacing w:after="0"/>
        <w:jc w:val="both"/>
        <w:rPr>
          <w:b/>
          <w:sz w:val="24"/>
          <w:szCs w:val="24"/>
          <w:u w:val="single"/>
        </w:rPr>
      </w:pPr>
    </w:p>
    <w:p w:rsidR="00B95D1D" w:rsidRDefault="00B95D1D" w:rsidP="00091AEE">
      <w:pPr>
        <w:spacing w:after="0"/>
        <w:jc w:val="both"/>
        <w:rPr>
          <w:b/>
          <w:sz w:val="24"/>
          <w:szCs w:val="24"/>
        </w:rPr>
      </w:pPr>
    </w:p>
    <w:sectPr w:rsidR="00B95D1D" w:rsidSect="00911FF7">
      <w:footerReference w:type="default" r:id="rId21"/>
      <w:pgSz w:w="11906" w:h="16838"/>
      <w:pgMar w:top="1418" w:right="1304" w:bottom="1418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83" w:rsidRDefault="00E87A83" w:rsidP="00CA7ACF">
      <w:pPr>
        <w:spacing w:after="0" w:line="240" w:lineRule="auto"/>
      </w:pPr>
      <w:r>
        <w:separator/>
      </w:r>
    </w:p>
  </w:endnote>
  <w:endnote w:type="continuationSeparator" w:id="0">
    <w:p w:rsidR="00E87A83" w:rsidRDefault="00E87A83" w:rsidP="00CA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Japanese Gothic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558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56E2" w:rsidRPr="0012617B" w:rsidRDefault="008E56E2">
        <w:pPr>
          <w:pStyle w:val="Stopka"/>
          <w:jc w:val="center"/>
          <w:rPr>
            <w:sz w:val="20"/>
            <w:szCs w:val="20"/>
          </w:rPr>
        </w:pPr>
        <w:r w:rsidRPr="0012617B">
          <w:rPr>
            <w:sz w:val="20"/>
            <w:szCs w:val="20"/>
          </w:rPr>
          <w:fldChar w:fldCharType="begin"/>
        </w:r>
        <w:r w:rsidRPr="0012617B">
          <w:rPr>
            <w:sz w:val="20"/>
            <w:szCs w:val="20"/>
          </w:rPr>
          <w:instrText>PAGE   \* MERGEFORMAT</w:instrText>
        </w:r>
        <w:r w:rsidRPr="0012617B">
          <w:rPr>
            <w:sz w:val="20"/>
            <w:szCs w:val="20"/>
          </w:rPr>
          <w:fldChar w:fldCharType="separate"/>
        </w:r>
        <w:r w:rsidR="006F2D52">
          <w:rPr>
            <w:noProof/>
            <w:sz w:val="20"/>
            <w:szCs w:val="20"/>
          </w:rPr>
          <w:t>1</w:t>
        </w:r>
        <w:r w:rsidRPr="0012617B">
          <w:rPr>
            <w:sz w:val="20"/>
            <w:szCs w:val="20"/>
          </w:rPr>
          <w:fldChar w:fldCharType="end"/>
        </w:r>
      </w:p>
    </w:sdtContent>
  </w:sdt>
  <w:p w:rsidR="00187A0A" w:rsidRPr="0012617B" w:rsidRDefault="00187A0A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83" w:rsidRDefault="00E87A83" w:rsidP="00CA7ACF">
      <w:pPr>
        <w:spacing w:after="0" w:line="240" w:lineRule="auto"/>
      </w:pPr>
      <w:r>
        <w:separator/>
      </w:r>
    </w:p>
  </w:footnote>
  <w:footnote w:type="continuationSeparator" w:id="0">
    <w:p w:rsidR="00E87A83" w:rsidRDefault="00E87A83" w:rsidP="00CA7ACF">
      <w:pPr>
        <w:spacing w:after="0" w:line="240" w:lineRule="auto"/>
      </w:pPr>
      <w:r>
        <w:continuationSeparator/>
      </w:r>
    </w:p>
  </w:footnote>
  <w:footnote w:id="1">
    <w:p w:rsidR="007233C1" w:rsidRPr="00E9171E" w:rsidRDefault="007233C1" w:rsidP="00E9171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E9171E">
        <w:rPr>
          <w:rStyle w:val="Odwoanieprzypisudolnego"/>
          <w:sz w:val="16"/>
          <w:szCs w:val="16"/>
        </w:rPr>
        <w:footnoteRef/>
      </w:r>
      <w:r w:rsidRPr="00E9171E">
        <w:rPr>
          <w:sz w:val="16"/>
          <w:szCs w:val="16"/>
        </w:rPr>
        <w:t xml:space="preserve"> </w:t>
      </w:r>
      <w:r w:rsidRPr="00E9171E">
        <w:rPr>
          <w:rFonts w:cstheme="minorHAnsi"/>
          <w:sz w:val="16"/>
          <w:szCs w:val="16"/>
        </w:rPr>
        <w:t>Liczba ubezpieczonych, którzy w zgłoszeniu do ubezpieczeń emerytalnego i rentowych podali obywatelstwo inne niż polskie.</w:t>
      </w:r>
      <w:r w:rsidR="00E9171E" w:rsidRPr="00E9171E">
        <w:rPr>
          <w:rFonts w:ascii="Calibri" w:hAnsi="Calibri" w:cs="Calibri"/>
          <w:color w:val="000000"/>
          <w:sz w:val="16"/>
          <w:szCs w:val="16"/>
        </w:rPr>
        <w:t xml:space="preserve"> Źródło: Portal Statystyczny ZUS (</w:t>
      </w:r>
      <w:r w:rsidR="00E9171E" w:rsidRPr="00E9171E">
        <w:rPr>
          <w:rFonts w:ascii="Calibri" w:hAnsi="Calibri" w:cs="Calibri"/>
          <w:color w:val="0000FF"/>
          <w:sz w:val="16"/>
          <w:szCs w:val="16"/>
        </w:rPr>
        <w:t>https://psz.zus.pl/kategorie/ubezpieczeni/ubezpieczenia-emerytalne-i-rentowe</w:t>
      </w:r>
      <w:r w:rsidR="00E9171E" w:rsidRPr="00E9171E">
        <w:rPr>
          <w:rFonts w:ascii="Calibri" w:hAnsi="Calibri" w:cs="Calibri"/>
          <w:color w:val="000000"/>
          <w:sz w:val="16"/>
          <w:szCs w:val="16"/>
        </w:rPr>
        <w:t>).</w:t>
      </w:r>
    </w:p>
  </w:footnote>
  <w:footnote w:id="2">
    <w:p w:rsidR="004D2BD5" w:rsidRPr="002D5A7B" w:rsidRDefault="004D2BD5" w:rsidP="004D2BD5">
      <w:pPr>
        <w:pStyle w:val="Tekstprzypisudolnego"/>
        <w:jc w:val="both"/>
        <w:rPr>
          <w:rFonts w:asciiTheme="minorHAnsi" w:hAnsiTheme="minorHAnsi"/>
        </w:rPr>
      </w:pPr>
      <w:r w:rsidRPr="002D5A7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D5A7B">
        <w:rPr>
          <w:rFonts w:asciiTheme="minorHAnsi" w:hAnsiTheme="minorHAnsi"/>
        </w:rPr>
        <w:t xml:space="preserve"> </w:t>
      </w:r>
      <w:r w:rsidRPr="002D5A7B">
        <w:rPr>
          <w:rFonts w:asciiTheme="minorHAnsi" w:hAnsiTheme="minorHAnsi" w:cs="TimesNewRoman"/>
          <w:sz w:val="16"/>
          <w:szCs w:val="16"/>
        </w:rPr>
        <w:t xml:space="preserve">Bez wypłat </w:t>
      </w:r>
      <w:r>
        <w:rPr>
          <w:rFonts w:asciiTheme="minorHAnsi" w:hAnsiTheme="minorHAnsi" w:cs="TimesNewRoman"/>
          <w:sz w:val="16"/>
          <w:szCs w:val="16"/>
        </w:rPr>
        <w:t>świadczeń</w:t>
      </w:r>
      <w:r w:rsidRPr="002D5A7B">
        <w:rPr>
          <w:rFonts w:asciiTheme="minorHAnsi" w:hAnsiTheme="minorHAnsi" w:cs="TimesNewRoman"/>
          <w:sz w:val="16"/>
          <w:szCs w:val="16"/>
        </w:rPr>
        <w:t xml:space="preserve"> realizowanych na mocy umów międzynarodowych, emerytur i rent osób posiadających także prawo do świadczenia rolniczego</w:t>
      </w:r>
      <w:r w:rsidRPr="002D5A7B">
        <w:rPr>
          <w:rFonts w:asciiTheme="minorHAnsi" w:hAnsiTheme="minorHAnsi" w:cs="TimesNewRoman,Bold"/>
          <w:bCs/>
          <w:sz w:val="16"/>
          <w:szCs w:val="16"/>
        </w:rPr>
        <w:t>.</w:t>
      </w:r>
    </w:p>
  </w:footnote>
  <w:footnote w:id="3">
    <w:p w:rsidR="004D2BD5" w:rsidRPr="0036499E" w:rsidRDefault="004D2BD5" w:rsidP="004D2BD5">
      <w:pPr>
        <w:pStyle w:val="Tekstprzypisudolnego"/>
        <w:jc w:val="both"/>
        <w:rPr>
          <w:rStyle w:val="Odwoanieprzypisudolnego"/>
          <w:rFonts w:asciiTheme="minorHAnsi" w:hAnsiTheme="minorHAnsi"/>
          <w:sz w:val="16"/>
          <w:szCs w:val="16"/>
        </w:rPr>
      </w:pPr>
      <w:r w:rsidRPr="0036499E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36499E">
        <w:rPr>
          <w:rStyle w:val="Odwoanieprzypisudolnego"/>
          <w:rFonts w:asciiTheme="minorHAnsi" w:hAnsiTheme="minorHAnsi"/>
          <w:sz w:val="16"/>
          <w:szCs w:val="16"/>
        </w:rPr>
        <w:t xml:space="preserve"> </w:t>
      </w:r>
      <w:r w:rsidRPr="002D5A7B">
        <w:rPr>
          <w:rFonts w:asciiTheme="minorHAnsi" w:hAnsiTheme="minorHAnsi" w:cs="TimesNewRoman"/>
          <w:sz w:val="16"/>
          <w:szCs w:val="16"/>
        </w:rPr>
        <w:t xml:space="preserve">Bez wypłat </w:t>
      </w:r>
      <w:r>
        <w:rPr>
          <w:rFonts w:asciiTheme="minorHAnsi" w:hAnsiTheme="minorHAnsi" w:cs="TimesNewRoman"/>
          <w:sz w:val="16"/>
          <w:szCs w:val="16"/>
        </w:rPr>
        <w:t>świadczeń</w:t>
      </w:r>
      <w:r w:rsidRPr="002D5A7B">
        <w:rPr>
          <w:rFonts w:asciiTheme="minorHAnsi" w:hAnsiTheme="minorHAnsi" w:cs="TimesNewRoman"/>
          <w:sz w:val="16"/>
          <w:szCs w:val="16"/>
        </w:rPr>
        <w:t xml:space="preserve"> realizowanych na mocy umów międzynarodowych, emerytur i rent osób posiadających także prawo do świadczenia rolniczego oraz </w:t>
      </w:r>
      <w:r w:rsidRPr="002D5A7B">
        <w:rPr>
          <w:rFonts w:asciiTheme="minorHAnsi" w:hAnsiTheme="minorHAnsi" w:cs="TimesNewRoman,Bold"/>
          <w:bCs/>
          <w:sz w:val="16"/>
          <w:szCs w:val="16"/>
        </w:rPr>
        <w:t>bez emerytur zbiegowych finansowanych z FUS, a wypłacanych przy rentach</w:t>
      </w:r>
      <w:r w:rsidRPr="002D5A7B">
        <w:rPr>
          <w:rFonts w:asciiTheme="minorHAnsi" w:hAnsiTheme="minorHAnsi" w:cs="TimesNewRoman,Bold"/>
          <w:b/>
          <w:bCs/>
          <w:sz w:val="16"/>
          <w:szCs w:val="16"/>
        </w:rPr>
        <w:t xml:space="preserve"> </w:t>
      </w:r>
      <w:r w:rsidRPr="002D5A7B">
        <w:rPr>
          <w:rFonts w:asciiTheme="minorHAnsi" w:hAnsiTheme="minorHAnsi" w:cs="TimesNewRoman,Bold"/>
          <w:bCs/>
          <w:sz w:val="16"/>
          <w:szCs w:val="16"/>
        </w:rPr>
        <w:t>finansowanych z odrębnego rozdziału wydatków budżetu państwa 75313.</w:t>
      </w:r>
    </w:p>
  </w:footnote>
  <w:footnote w:id="4">
    <w:p w:rsidR="004D2BD5" w:rsidRDefault="004D2BD5" w:rsidP="004D2BD5">
      <w:pPr>
        <w:pStyle w:val="Tekstprzypisudolnego"/>
        <w:jc w:val="both"/>
      </w:pPr>
      <w:r w:rsidRPr="002D5A7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D5A7B">
        <w:rPr>
          <w:rFonts w:asciiTheme="minorHAnsi" w:hAnsiTheme="minorHAnsi"/>
          <w:sz w:val="16"/>
          <w:szCs w:val="16"/>
        </w:rPr>
        <w:t xml:space="preserve"> </w:t>
      </w:r>
      <w:r w:rsidRPr="002D5A7B">
        <w:rPr>
          <w:rFonts w:asciiTheme="minorHAnsi" w:hAnsiTheme="minorHAnsi" w:cs="TimesNewRoman"/>
          <w:sz w:val="16"/>
          <w:szCs w:val="16"/>
        </w:rPr>
        <w:t xml:space="preserve">Bez wypłat </w:t>
      </w:r>
      <w:r>
        <w:rPr>
          <w:rFonts w:asciiTheme="minorHAnsi" w:hAnsiTheme="minorHAnsi" w:cs="TimesNewRoman"/>
          <w:sz w:val="16"/>
          <w:szCs w:val="16"/>
        </w:rPr>
        <w:t>świadczeń</w:t>
      </w:r>
      <w:r w:rsidRPr="002D5A7B">
        <w:rPr>
          <w:rFonts w:asciiTheme="minorHAnsi" w:hAnsiTheme="minorHAnsi" w:cs="TimesNewRoman"/>
          <w:sz w:val="16"/>
          <w:szCs w:val="16"/>
        </w:rPr>
        <w:t xml:space="preserve"> realizowanych na mocy umów międzynarodowych, emerytur i rent osób posiadających także prawo do świadczenia rolniczego oraz </w:t>
      </w:r>
      <w:r w:rsidRPr="002D5A7B">
        <w:rPr>
          <w:rFonts w:asciiTheme="minorHAnsi" w:hAnsiTheme="minorHAnsi" w:cs="TimesNewRoman,Bold"/>
          <w:bCs/>
          <w:sz w:val="16"/>
          <w:szCs w:val="16"/>
        </w:rPr>
        <w:t>bez emerytur zbiegowych finansowanych z FUS, a wypłacanych przy rentach</w:t>
      </w:r>
      <w:r w:rsidRPr="002D5A7B">
        <w:rPr>
          <w:rFonts w:asciiTheme="minorHAnsi" w:hAnsiTheme="minorHAnsi" w:cs="TimesNewRoman,Bold"/>
          <w:b/>
          <w:bCs/>
          <w:sz w:val="16"/>
          <w:szCs w:val="16"/>
        </w:rPr>
        <w:t xml:space="preserve"> </w:t>
      </w:r>
      <w:r w:rsidRPr="002D5A7B">
        <w:rPr>
          <w:rFonts w:asciiTheme="minorHAnsi" w:hAnsiTheme="minorHAnsi" w:cs="TimesNewRoman,Bold"/>
          <w:bCs/>
          <w:sz w:val="16"/>
          <w:szCs w:val="16"/>
        </w:rPr>
        <w:t>finansowanych z odrębnego rozdziału wydatków budżetu państwa 75313.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40408"/>
    <w:multiLevelType w:val="hybridMultilevel"/>
    <w:tmpl w:val="CD8AD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40AF0"/>
    <w:multiLevelType w:val="hybridMultilevel"/>
    <w:tmpl w:val="970AE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1E"/>
    <w:rsid w:val="00017C42"/>
    <w:rsid w:val="000226C9"/>
    <w:rsid w:val="00024500"/>
    <w:rsid w:val="00026D9D"/>
    <w:rsid w:val="0003191A"/>
    <w:rsid w:val="00034772"/>
    <w:rsid w:val="00035867"/>
    <w:rsid w:val="000412B2"/>
    <w:rsid w:val="000428D5"/>
    <w:rsid w:val="00042A7D"/>
    <w:rsid w:val="0004323D"/>
    <w:rsid w:val="00043A20"/>
    <w:rsid w:val="00046567"/>
    <w:rsid w:val="0005299E"/>
    <w:rsid w:val="00052ACC"/>
    <w:rsid w:val="00052EB9"/>
    <w:rsid w:val="00055FD8"/>
    <w:rsid w:val="00057F8C"/>
    <w:rsid w:val="00062023"/>
    <w:rsid w:val="000622DA"/>
    <w:rsid w:val="00063203"/>
    <w:rsid w:val="00063978"/>
    <w:rsid w:val="00070207"/>
    <w:rsid w:val="00072F6E"/>
    <w:rsid w:val="00076128"/>
    <w:rsid w:val="000857FE"/>
    <w:rsid w:val="00090398"/>
    <w:rsid w:val="00091AEE"/>
    <w:rsid w:val="00095E6D"/>
    <w:rsid w:val="00096669"/>
    <w:rsid w:val="000A02C6"/>
    <w:rsid w:val="000A1243"/>
    <w:rsid w:val="000A2641"/>
    <w:rsid w:val="000A2D53"/>
    <w:rsid w:val="000B261A"/>
    <w:rsid w:val="000B2F87"/>
    <w:rsid w:val="000B455B"/>
    <w:rsid w:val="000B4CD5"/>
    <w:rsid w:val="000B51D8"/>
    <w:rsid w:val="000B65F9"/>
    <w:rsid w:val="000B74F8"/>
    <w:rsid w:val="000C03AE"/>
    <w:rsid w:val="000C0CB3"/>
    <w:rsid w:val="000C1AF8"/>
    <w:rsid w:val="000C5001"/>
    <w:rsid w:val="000C7F55"/>
    <w:rsid w:val="000D1264"/>
    <w:rsid w:val="000D4E55"/>
    <w:rsid w:val="000D5FC6"/>
    <w:rsid w:val="000E00B6"/>
    <w:rsid w:val="000E0703"/>
    <w:rsid w:val="000E3B8D"/>
    <w:rsid w:val="000E6C75"/>
    <w:rsid w:val="000F08DB"/>
    <w:rsid w:val="000F2B89"/>
    <w:rsid w:val="000F4D82"/>
    <w:rsid w:val="000F7C7D"/>
    <w:rsid w:val="000F7EC8"/>
    <w:rsid w:val="001109CC"/>
    <w:rsid w:val="001112AE"/>
    <w:rsid w:val="001113ED"/>
    <w:rsid w:val="00122627"/>
    <w:rsid w:val="0012432F"/>
    <w:rsid w:val="0012617B"/>
    <w:rsid w:val="00127A21"/>
    <w:rsid w:val="0013191F"/>
    <w:rsid w:val="00131F4A"/>
    <w:rsid w:val="00144A2A"/>
    <w:rsid w:val="00150DDD"/>
    <w:rsid w:val="00157ACD"/>
    <w:rsid w:val="00157C22"/>
    <w:rsid w:val="00157D87"/>
    <w:rsid w:val="00160C77"/>
    <w:rsid w:val="00170E7B"/>
    <w:rsid w:val="001752FE"/>
    <w:rsid w:val="00177A7C"/>
    <w:rsid w:val="0018266F"/>
    <w:rsid w:val="00187A0A"/>
    <w:rsid w:val="00192239"/>
    <w:rsid w:val="00194EDB"/>
    <w:rsid w:val="00195FCA"/>
    <w:rsid w:val="0019709D"/>
    <w:rsid w:val="00197DF5"/>
    <w:rsid w:val="001A161F"/>
    <w:rsid w:val="001A3A8A"/>
    <w:rsid w:val="001A5CBD"/>
    <w:rsid w:val="001B1E44"/>
    <w:rsid w:val="001B3275"/>
    <w:rsid w:val="001B375D"/>
    <w:rsid w:val="001B48FF"/>
    <w:rsid w:val="001B4F73"/>
    <w:rsid w:val="001C5E18"/>
    <w:rsid w:val="001C7786"/>
    <w:rsid w:val="001D1EE8"/>
    <w:rsid w:val="001E3E58"/>
    <w:rsid w:val="001E654A"/>
    <w:rsid w:val="001E7D7D"/>
    <w:rsid w:val="001F30E4"/>
    <w:rsid w:val="001F42AD"/>
    <w:rsid w:val="001F4E97"/>
    <w:rsid w:val="001F602C"/>
    <w:rsid w:val="001F64F8"/>
    <w:rsid w:val="001F687C"/>
    <w:rsid w:val="001F6B65"/>
    <w:rsid w:val="0020312C"/>
    <w:rsid w:val="002040BC"/>
    <w:rsid w:val="00207F49"/>
    <w:rsid w:val="00212682"/>
    <w:rsid w:val="00216A36"/>
    <w:rsid w:val="00221766"/>
    <w:rsid w:val="002243F7"/>
    <w:rsid w:val="00224C84"/>
    <w:rsid w:val="002258C7"/>
    <w:rsid w:val="00227820"/>
    <w:rsid w:val="00227905"/>
    <w:rsid w:val="002300ED"/>
    <w:rsid w:val="002315DE"/>
    <w:rsid w:val="00232153"/>
    <w:rsid w:val="00232DA2"/>
    <w:rsid w:val="00234211"/>
    <w:rsid w:val="00237CEA"/>
    <w:rsid w:val="00240575"/>
    <w:rsid w:val="00241962"/>
    <w:rsid w:val="00242CE8"/>
    <w:rsid w:val="002453E2"/>
    <w:rsid w:val="002468F8"/>
    <w:rsid w:val="002470C7"/>
    <w:rsid w:val="002512D0"/>
    <w:rsid w:val="002551FC"/>
    <w:rsid w:val="00255E06"/>
    <w:rsid w:val="00256069"/>
    <w:rsid w:val="00257CB6"/>
    <w:rsid w:val="00257FA8"/>
    <w:rsid w:val="0026694B"/>
    <w:rsid w:val="00267AC7"/>
    <w:rsid w:val="00267BFA"/>
    <w:rsid w:val="0027100C"/>
    <w:rsid w:val="0027330B"/>
    <w:rsid w:val="00277D2E"/>
    <w:rsid w:val="00283285"/>
    <w:rsid w:val="002848A7"/>
    <w:rsid w:val="00285E5B"/>
    <w:rsid w:val="0028654F"/>
    <w:rsid w:val="00287489"/>
    <w:rsid w:val="00294BD4"/>
    <w:rsid w:val="00294D24"/>
    <w:rsid w:val="0029538E"/>
    <w:rsid w:val="00296D09"/>
    <w:rsid w:val="002A068B"/>
    <w:rsid w:val="002A31CD"/>
    <w:rsid w:val="002A61F3"/>
    <w:rsid w:val="002B6476"/>
    <w:rsid w:val="002B6EA0"/>
    <w:rsid w:val="002B7B3D"/>
    <w:rsid w:val="002C5085"/>
    <w:rsid w:val="002D5061"/>
    <w:rsid w:val="002D5A7B"/>
    <w:rsid w:val="002D5AC0"/>
    <w:rsid w:val="002D6394"/>
    <w:rsid w:val="002E192C"/>
    <w:rsid w:val="002E4126"/>
    <w:rsid w:val="002E4150"/>
    <w:rsid w:val="002E6472"/>
    <w:rsid w:val="002E6A07"/>
    <w:rsid w:val="002F2AD3"/>
    <w:rsid w:val="002F3B3D"/>
    <w:rsid w:val="002F3D04"/>
    <w:rsid w:val="002F4178"/>
    <w:rsid w:val="002F54AC"/>
    <w:rsid w:val="002F7ECB"/>
    <w:rsid w:val="00300DF6"/>
    <w:rsid w:val="00302DB3"/>
    <w:rsid w:val="00303BFA"/>
    <w:rsid w:val="00304F44"/>
    <w:rsid w:val="00305C5B"/>
    <w:rsid w:val="00306EA2"/>
    <w:rsid w:val="00310090"/>
    <w:rsid w:val="00314037"/>
    <w:rsid w:val="00315FB5"/>
    <w:rsid w:val="00316AC0"/>
    <w:rsid w:val="00320021"/>
    <w:rsid w:val="003219BC"/>
    <w:rsid w:val="00321B98"/>
    <w:rsid w:val="0032320B"/>
    <w:rsid w:val="00326413"/>
    <w:rsid w:val="00327EDE"/>
    <w:rsid w:val="00330143"/>
    <w:rsid w:val="00330B24"/>
    <w:rsid w:val="0033245A"/>
    <w:rsid w:val="0033246F"/>
    <w:rsid w:val="00333756"/>
    <w:rsid w:val="00335265"/>
    <w:rsid w:val="003420B0"/>
    <w:rsid w:val="00343915"/>
    <w:rsid w:val="00351D50"/>
    <w:rsid w:val="00357262"/>
    <w:rsid w:val="003579FB"/>
    <w:rsid w:val="003607D2"/>
    <w:rsid w:val="0036499E"/>
    <w:rsid w:val="00364F53"/>
    <w:rsid w:val="003656F8"/>
    <w:rsid w:val="00367234"/>
    <w:rsid w:val="00373536"/>
    <w:rsid w:val="003926DE"/>
    <w:rsid w:val="003928E9"/>
    <w:rsid w:val="0039372C"/>
    <w:rsid w:val="0039576C"/>
    <w:rsid w:val="00395A79"/>
    <w:rsid w:val="00395CA9"/>
    <w:rsid w:val="00395D92"/>
    <w:rsid w:val="00396E13"/>
    <w:rsid w:val="003A4FE4"/>
    <w:rsid w:val="003B07FD"/>
    <w:rsid w:val="003B0DAB"/>
    <w:rsid w:val="003B0F95"/>
    <w:rsid w:val="003B1B3A"/>
    <w:rsid w:val="003B247C"/>
    <w:rsid w:val="003B5118"/>
    <w:rsid w:val="003B58B7"/>
    <w:rsid w:val="003B5C6A"/>
    <w:rsid w:val="003C1632"/>
    <w:rsid w:val="003C6432"/>
    <w:rsid w:val="003C764F"/>
    <w:rsid w:val="003D477C"/>
    <w:rsid w:val="003D6600"/>
    <w:rsid w:val="003E5C67"/>
    <w:rsid w:val="003F057A"/>
    <w:rsid w:val="003F6359"/>
    <w:rsid w:val="004024A9"/>
    <w:rsid w:val="0040511A"/>
    <w:rsid w:val="00407E3F"/>
    <w:rsid w:val="004138EF"/>
    <w:rsid w:val="004170CA"/>
    <w:rsid w:val="00417E18"/>
    <w:rsid w:val="0042043B"/>
    <w:rsid w:val="00420C5A"/>
    <w:rsid w:val="004265FB"/>
    <w:rsid w:val="00427090"/>
    <w:rsid w:val="00427D88"/>
    <w:rsid w:val="00431258"/>
    <w:rsid w:val="00433614"/>
    <w:rsid w:val="00434C6C"/>
    <w:rsid w:val="004366E7"/>
    <w:rsid w:val="00442935"/>
    <w:rsid w:val="0044483A"/>
    <w:rsid w:val="004455D4"/>
    <w:rsid w:val="0045300A"/>
    <w:rsid w:val="00456157"/>
    <w:rsid w:val="0045786B"/>
    <w:rsid w:val="00460367"/>
    <w:rsid w:val="00460520"/>
    <w:rsid w:val="004607B7"/>
    <w:rsid w:val="00466D38"/>
    <w:rsid w:val="0046751D"/>
    <w:rsid w:val="00470BB3"/>
    <w:rsid w:val="00475D4F"/>
    <w:rsid w:val="004916DF"/>
    <w:rsid w:val="00492B78"/>
    <w:rsid w:val="004A1D75"/>
    <w:rsid w:val="004A2749"/>
    <w:rsid w:val="004A3F5B"/>
    <w:rsid w:val="004B0E7D"/>
    <w:rsid w:val="004B2C81"/>
    <w:rsid w:val="004B45BA"/>
    <w:rsid w:val="004B4873"/>
    <w:rsid w:val="004B7FD0"/>
    <w:rsid w:val="004C5222"/>
    <w:rsid w:val="004D2BD5"/>
    <w:rsid w:val="004D4157"/>
    <w:rsid w:val="004D5727"/>
    <w:rsid w:val="004D6DEC"/>
    <w:rsid w:val="004D7867"/>
    <w:rsid w:val="004D7D39"/>
    <w:rsid w:val="004E446D"/>
    <w:rsid w:val="004E60AA"/>
    <w:rsid w:val="004F4A24"/>
    <w:rsid w:val="004F4FDE"/>
    <w:rsid w:val="004F57F4"/>
    <w:rsid w:val="004F71C6"/>
    <w:rsid w:val="00507130"/>
    <w:rsid w:val="005111F5"/>
    <w:rsid w:val="0052205B"/>
    <w:rsid w:val="005266E8"/>
    <w:rsid w:val="00527E86"/>
    <w:rsid w:val="00532F5E"/>
    <w:rsid w:val="0054261E"/>
    <w:rsid w:val="00546592"/>
    <w:rsid w:val="00551EB1"/>
    <w:rsid w:val="00553676"/>
    <w:rsid w:val="00560244"/>
    <w:rsid w:val="0056315E"/>
    <w:rsid w:val="0056463C"/>
    <w:rsid w:val="00567286"/>
    <w:rsid w:val="00581F4C"/>
    <w:rsid w:val="00582584"/>
    <w:rsid w:val="00583DD1"/>
    <w:rsid w:val="0058483B"/>
    <w:rsid w:val="005862DC"/>
    <w:rsid w:val="00587DC0"/>
    <w:rsid w:val="00590007"/>
    <w:rsid w:val="00591122"/>
    <w:rsid w:val="005929D1"/>
    <w:rsid w:val="00592B9B"/>
    <w:rsid w:val="005937A1"/>
    <w:rsid w:val="005952DF"/>
    <w:rsid w:val="005A055D"/>
    <w:rsid w:val="005A134A"/>
    <w:rsid w:val="005A14CD"/>
    <w:rsid w:val="005A58C8"/>
    <w:rsid w:val="005A61F3"/>
    <w:rsid w:val="005A6A7E"/>
    <w:rsid w:val="005B2F20"/>
    <w:rsid w:val="005C3323"/>
    <w:rsid w:val="005C6D52"/>
    <w:rsid w:val="005D11C0"/>
    <w:rsid w:val="005D3DF6"/>
    <w:rsid w:val="005D5B96"/>
    <w:rsid w:val="005D742D"/>
    <w:rsid w:val="005E3932"/>
    <w:rsid w:val="005E3B11"/>
    <w:rsid w:val="005E3B18"/>
    <w:rsid w:val="005E470A"/>
    <w:rsid w:val="005F2CD1"/>
    <w:rsid w:val="005F58F3"/>
    <w:rsid w:val="005F5BC6"/>
    <w:rsid w:val="005F66A1"/>
    <w:rsid w:val="006011DA"/>
    <w:rsid w:val="006017A4"/>
    <w:rsid w:val="00601A61"/>
    <w:rsid w:val="006038D7"/>
    <w:rsid w:val="00603ADA"/>
    <w:rsid w:val="00606736"/>
    <w:rsid w:val="00611FEC"/>
    <w:rsid w:val="00623CBE"/>
    <w:rsid w:val="00623DB8"/>
    <w:rsid w:val="006251FF"/>
    <w:rsid w:val="00626998"/>
    <w:rsid w:val="00634089"/>
    <w:rsid w:val="00634FCE"/>
    <w:rsid w:val="00636B9C"/>
    <w:rsid w:val="0063743A"/>
    <w:rsid w:val="006428F0"/>
    <w:rsid w:val="00644B99"/>
    <w:rsid w:val="00646085"/>
    <w:rsid w:val="00646735"/>
    <w:rsid w:val="006472AB"/>
    <w:rsid w:val="00652C74"/>
    <w:rsid w:val="00654246"/>
    <w:rsid w:val="00654AD8"/>
    <w:rsid w:val="00654F52"/>
    <w:rsid w:val="00666C5E"/>
    <w:rsid w:val="0067014F"/>
    <w:rsid w:val="00670F99"/>
    <w:rsid w:val="00671212"/>
    <w:rsid w:val="00672DD6"/>
    <w:rsid w:val="00672F3E"/>
    <w:rsid w:val="00672FC4"/>
    <w:rsid w:val="00675BA8"/>
    <w:rsid w:val="00675D05"/>
    <w:rsid w:val="00675F0F"/>
    <w:rsid w:val="00680A66"/>
    <w:rsid w:val="00681132"/>
    <w:rsid w:val="006818C1"/>
    <w:rsid w:val="006908FE"/>
    <w:rsid w:val="00691F82"/>
    <w:rsid w:val="00694D70"/>
    <w:rsid w:val="00694EFB"/>
    <w:rsid w:val="006971BC"/>
    <w:rsid w:val="006A108B"/>
    <w:rsid w:val="006A7379"/>
    <w:rsid w:val="006B655E"/>
    <w:rsid w:val="006C09C3"/>
    <w:rsid w:val="006C2F20"/>
    <w:rsid w:val="006D0C03"/>
    <w:rsid w:val="006D280B"/>
    <w:rsid w:val="006E4FCB"/>
    <w:rsid w:val="006E5F93"/>
    <w:rsid w:val="006E61C7"/>
    <w:rsid w:val="006F1B40"/>
    <w:rsid w:val="006F2D52"/>
    <w:rsid w:val="006F2D80"/>
    <w:rsid w:val="0070103B"/>
    <w:rsid w:val="007010A6"/>
    <w:rsid w:val="0070229E"/>
    <w:rsid w:val="00704329"/>
    <w:rsid w:val="00705BB3"/>
    <w:rsid w:val="00715953"/>
    <w:rsid w:val="00717996"/>
    <w:rsid w:val="0072017D"/>
    <w:rsid w:val="00721E9F"/>
    <w:rsid w:val="007233C1"/>
    <w:rsid w:val="007238AB"/>
    <w:rsid w:val="00726343"/>
    <w:rsid w:val="007310B7"/>
    <w:rsid w:val="00732C63"/>
    <w:rsid w:val="00733F2C"/>
    <w:rsid w:val="00735354"/>
    <w:rsid w:val="0074254E"/>
    <w:rsid w:val="007462CD"/>
    <w:rsid w:val="00750633"/>
    <w:rsid w:val="0075457E"/>
    <w:rsid w:val="00760087"/>
    <w:rsid w:val="007602E9"/>
    <w:rsid w:val="007642D1"/>
    <w:rsid w:val="0076686F"/>
    <w:rsid w:val="0076699A"/>
    <w:rsid w:val="00766A35"/>
    <w:rsid w:val="00774A89"/>
    <w:rsid w:val="00777CBE"/>
    <w:rsid w:val="0078197E"/>
    <w:rsid w:val="007875F7"/>
    <w:rsid w:val="00790ADB"/>
    <w:rsid w:val="007917A5"/>
    <w:rsid w:val="00793132"/>
    <w:rsid w:val="007A0258"/>
    <w:rsid w:val="007A0985"/>
    <w:rsid w:val="007A5598"/>
    <w:rsid w:val="007A7717"/>
    <w:rsid w:val="007B0E94"/>
    <w:rsid w:val="007B175F"/>
    <w:rsid w:val="007B270A"/>
    <w:rsid w:val="007B6A1B"/>
    <w:rsid w:val="007B6E38"/>
    <w:rsid w:val="007B7C5A"/>
    <w:rsid w:val="007C02F6"/>
    <w:rsid w:val="007C228E"/>
    <w:rsid w:val="007C2BE6"/>
    <w:rsid w:val="007C3F9D"/>
    <w:rsid w:val="007C41F2"/>
    <w:rsid w:val="007D0849"/>
    <w:rsid w:val="007D1616"/>
    <w:rsid w:val="007D3DF3"/>
    <w:rsid w:val="007E1592"/>
    <w:rsid w:val="007E35D5"/>
    <w:rsid w:val="007F7716"/>
    <w:rsid w:val="007F7B47"/>
    <w:rsid w:val="0080153E"/>
    <w:rsid w:val="00801B27"/>
    <w:rsid w:val="0081254E"/>
    <w:rsid w:val="0081320D"/>
    <w:rsid w:val="0081456A"/>
    <w:rsid w:val="008236C2"/>
    <w:rsid w:val="00824FEB"/>
    <w:rsid w:val="0082598E"/>
    <w:rsid w:val="008260D1"/>
    <w:rsid w:val="0082659E"/>
    <w:rsid w:val="00832F6A"/>
    <w:rsid w:val="008341CA"/>
    <w:rsid w:val="008375D3"/>
    <w:rsid w:val="00842759"/>
    <w:rsid w:val="00842BD3"/>
    <w:rsid w:val="00846A1B"/>
    <w:rsid w:val="00847AFB"/>
    <w:rsid w:val="00862AA2"/>
    <w:rsid w:val="008677C7"/>
    <w:rsid w:val="00870624"/>
    <w:rsid w:val="00882D9D"/>
    <w:rsid w:val="0088337F"/>
    <w:rsid w:val="00884BD3"/>
    <w:rsid w:val="00885230"/>
    <w:rsid w:val="00886356"/>
    <w:rsid w:val="008919EE"/>
    <w:rsid w:val="00894597"/>
    <w:rsid w:val="0089468B"/>
    <w:rsid w:val="008A0FA0"/>
    <w:rsid w:val="008A1B9F"/>
    <w:rsid w:val="008A1DED"/>
    <w:rsid w:val="008A4290"/>
    <w:rsid w:val="008B2461"/>
    <w:rsid w:val="008B3062"/>
    <w:rsid w:val="008B5D93"/>
    <w:rsid w:val="008C1489"/>
    <w:rsid w:val="008C5382"/>
    <w:rsid w:val="008D34B8"/>
    <w:rsid w:val="008D6A0F"/>
    <w:rsid w:val="008D75EA"/>
    <w:rsid w:val="008E1386"/>
    <w:rsid w:val="008E431B"/>
    <w:rsid w:val="008E56E2"/>
    <w:rsid w:val="008E6098"/>
    <w:rsid w:val="008E7691"/>
    <w:rsid w:val="008F0F9C"/>
    <w:rsid w:val="008F2800"/>
    <w:rsid w:val="008F4918"/>
    <w:rsid w:val="009043EA"/>
    <w:rsid w:val="00907221"/>
    <w:rsid w:val="00907CE6"/>
    <w:rsid w:val="00910753"/>
    <w:rsid w:val="00910C8A"/>
    <w:rsid w:val="00911FF7"/>
    <w:rsid w:val="009130B7"/>
    <w:rsid w:val="00917E1F"/>
    <w:rsid w:val="00921CDD"/>
    <w:rsid w:val="00925442"/>
    <w:rsid w:val="009311F6"/>
    <w:rsid w:val="00934983"/>
    <w:rsid w:val="00936AE3"/>
    <w:rsid w:val="009443E2"/>
    <w:rsid w:val="00945C57"/>
    <w:rsid w:val="009468DE"/>
    <w:rsid w:val="00950C36"/>
    <w:rsid w:val="0095293C"/>
    <w:rsid w:val="00952D86"/>
    <w:rsid w:val="00955231"/>
    <w:rsid w:val="009555AC"/>
    <w:rsid w:val="0095584E"/>
    <w:rsid w:val="009565BE"/>
    <w:rsid w:val="00960B0C"/>
    <w:rsid w:val="00962A94"/>
    <w:rsid w:val="00966806"/>
    <w:rsid w:val="0097132C"/>
    <w:rsid w:val="009732EE"/>
    <w:rsid w:val="009758B7"/>
    <w:rsid w:val="00975CC4"/>
    <w:rsid w:val="009838EE"/>
    <w:rsid w:val="00987394"/>
    <w:rsid w:val="0099530A"/>
    <w:rsid w:val="009A1C20"/>
    <w:rsid w:val="009A6BCE"/>
    <w:rsid w:val="009B0529"/>
    <w:rsid w:val="009B1906"/>
    <w:rsid w:val="009B7C86"/>
    <w:rsid w:val="009C0D88"/>
    <w:rsid w:val="009C5868"/>
    <w:rsid w:val="009D145D"/>
    <w:rsid w:val="009D717C"/>
    <w:rsid w:val="009D7FE1"/>
    <w:rsid w:val="009E0FC2"/>
    <w:rsid w:val="009E16EE"/>
    <w:rsid w:val="009E3F02"/>
    <w:rsid w:val="009F1B70"/>
    <w:rsid w:val="009F1F8C"/>
    <w:rsid w:val="009F2B59"/>
    <w:rsid w:val="009F2DEF"/>
    <w:rsid w:val="009F5F21"/>
    <w:rsid w:val="009F6B58"/>
    <w:rsid w:val="009F78B2"/>
    <w:rsid w:val="00A01B2F"/>
    <w:rsid w:val="00A0281D"/>
    <w:rsid w:val="00A02939"/>
    <w:rsid w:val="00A05256"/>
    <w:rsid w:val="00A052E9"/>
    <w:rsid w:val="00A05AD1"/>
    <w:rsid w:val="00A10924"/>
    <w:rsid w:val="00A10C1B"/>
    <w:rsid w:val="00A12567"/>
    <w:rsid w:val="00A17D50"/>
    <w:rsid w:val="00A22509"/>
    <w:rsid w:val="00A22F5D"/>
    <w:rsid w:val="00A233E1"/>
    <w:rsid w:val="00A3238E"/>
    <w:rsid w:val="00A371EB"/>
    <w:rsid w:val="00A3723E"/>
    <w:rsid w:val="00A4340D"/>
    <w:rsid w:val="00A43858"/>
    <w:rsid w:val="00A443EA"/>
    <w:rsid w:val="00A52105"/>
    <w:rsid w:val="00A52CA2"/>
    <w:rsid w:val="00A55324"/>
    <w:rsid w:val="00A71818"/>
    <w:rsid w:val="00A71CD4"/>
    <w:rsid w:val="00A773EF"/>
    <w:rsid w:val="00A91D71"/>
    <w:rsid w:val="00A93560"/>
    <w:rsid w:val="00A93DF5"/>
    <w:rsid w:val="00A94756"/>
    <w:rsid w:val="00A9695D"/>
    <w:rsid w:val="00AA2050"/>
    <w:rsid w:val="00AA2756"/>
    <w:rsid w:val="00AA6A1F"/>
    <w:rsid w:val="00AA6CA5"/>
    <w:rsid w:val="00AB0FCF"/>
    <w:rsid w:val="00AB3845"/>
    <w:rsid w:val="00AB6CF3"/>
    <w:rsid w:val="00AB6F2C"/>
    <w:rsid w:val="00AC14B1"/>
    <w:rsid w:val="00AC1C1E"/>
    <w:rsid w:val="00AC231B"/>
    <w:rsid w:val="00AC555D"/>
    <w:rsid w:val="00AD1778"/>
    <w:rsid w:val="00AE28FF"/>
    <w:rsid w:val="00AE3E87"/>
    <w:rsid w:val="00AE445B"/>
    <w:rsid w:val="00AE47F8"/>
    <w:rsid w:val="00AF086C"/>
    <w:rsid w:val="00AF3480"/>
    <w:rsid w:val="00AF38BC"/>
    <w:rsid w:val="00B00E2D"/>
    <w:rsid w:val="00B02C83"/>
    <w:rsid w:val="00B05F69"/>
    <w:rsid w:val="00B066C1"/>
    <w:rsid w:val="00B06DDE"/>
    <w:rsid w:val="00B07373"/>
    <w:rsid w:val="00B078D9"/>
    <w:rsid w:val="00B11D42"/>
    <w:rsid w:val="00B14C05"/>
    <w:rsid w:val="00B21A9D"/>
    <w:rsid w:val="00B23849"/>
    <w:rsid w:val="00B263A3"/>
    <w:rsid w:val="00B30E44"/>
    <w:rsid w:val="00B35FF5"/>
    <w:rsid w:val="00B435E2"/>
    <w:rsid w:val="00B55B2E"/>
    <w:rsid w:val="00B6196D"/>
    <w:rsid w:val="00B62486"/>
    <w:rsid w:val="00B75708"/>
    <w:rsid w:val="00B7645F"/>
    <w:rsid w:val="00B80153"/>
    <w:rsid w:val="00B818FB"/>
    <w:rsid w:val="00B83450"/>
    <w:rsid w:val="00B87339"/>
    <w:rsid w:val="00B90223"/>
    <w:rsid w:val="00B95D1D"/>
    <w:rsid w:val="00B96EE8"/>
    <w:rsid w:val="00BA5F9E"/>
    <w:rsid w:val="00BA6C33"/>
    <w:rsid w:val="00BB21E9"/>
    <w:rsid w:val="00BB2535"/>
    <w:rsid w:val="00BB2CB9"/>
    <w:rsid w:val="00BC1365"/>
    <w:rsid w:val="00BC7584"/>
    <w:rsid w:val="00BD0F47"/>
    <w:rsid w:val="00BD78A5"/>
    <w:rsid w:val="00BD7A47"/>
    <w:rsid w:val="00BF024D"/>
    <w:rsid w:val="00BF1B3D"/>
    <w:rsid w:val="00BF3732"/>
    <w:rsid w:val="00BF76B5"/>
    <w:rsid w:val="00C0197E"/>
    <w:rsid w:val="00C01F46"/>
    <w:rsid w:val="00C02AC9"/>
    <w:rsid w:val="00C05355"/>
    <w:rsid w:val="00C05A17"/>
    <w:rsid w:val="00C061AE"/>
    <w:rsid w:val="00C14DBA"/>
    <w:rsid w:val="00C153A7"/>
    <w:rsid w:val="00C16557"/>
    <w:rsid w:val="00C17556"/>
    <w:rsid w:val="00C20AAA"/>
    <w:rsid w:val="00C232D8"/>
    <w:rsid w:val="00C330E6"/>
    <w:rsid w:val="00C361F7"/>
    <w:rsid w:val="00C37465"/>
    <w:rsid w:val="00C40EA4"/>
    <w:rsid w:val="00C43FBA"/>
    <w:rsid w:val="00C44639"/>
    <w:rsid w:val="00C51A47"/>
    <w:rsid w:val="00C5429C"/>
    <w:rsid w:val="00C546F1"/>
    <w:rsid w:val="00C548D0"/>
    <w:rsid w:val="00C55479"/>
    <w:rsid w:val="00C570B9"/>
    <w:rsid w:val="00C57CF6"/>
    <w:rsid w:val="00C606AA"/>
    <w:rsid w:val="00C62C44"/>
    <w:rsid w:val="00C65CB4"/>
    <w:rsid w:val="00C711F1"/>
    <w:rsid w:val="00C71815"/>
    <w:rsid w:val="00C729BE"/>
    <w:rsid w:val="00C77AFB"/>
    <w:rsid w:val="00C80B21"/>
    <w:rsid w:val="00C83E74"/>
    <w:rsid w:val="00C94F26"/>
    <w:rsid w:val="00CA47F8"/>
    <w:rsid w:val="00CA7548"/>
    <w:rsid w:val="00CA77EB"/>
    <w:rsid w:val="00CA7ACF"/>
    <w:rsid w:val="00CB0B98"/>
    <w:rsid w:val="00CB1EA3"/>
    <w:rsid w:val="00CB49D9"/>
    <w:rsid w:val="00CB7296"/>
    <w:rsid w:val="00CB7985"/>
    <w:rsid w:val="00CC4011"/>
    <w:rsid w:val="00CC56C8"/>
    <w:rsid w:val="00CD051F"/>
    <w:rsid w:val="00CD49E0"/>
    <w:rsid w:val="00CD5364"/>
    <w:rsid w:val="00CD5C4D"/>
    <w:rsid w:val="00CD6560"/>
    <w:rsid w:val="00CE0CD9"/>
    <w:rsid w:val="00CE1C41"/>
    <w:rsid w:val="00CE44A9"/>
    <w:rsid w:val="00CE69AB"/>
    <w:rsid w:val="00CF1425"/>
    <w:rsid w:val="00CF6E16"/>
    <w:rsid w:val="00D0142C"/>
    <w:rsid w:val="00D02389"/>
    <w:rsid w:val="00D030EF"/>
    <w:rsid w:val="00D05154"/>
    <w:rsid w:val="00D20C3F"/>
    <w:rsid w:val="00D21071"/>
    <w:rsid w:val="00D22261"/>
    <w:rsid w:val="00D22758"/>
    <w:rsid w:val="00D250BC"/>
    <w:rsid w:val="00D31AE1"/>
    <w:rsid w:val="00D3226F"/>
    <w:rsid w:val="00D376A4"/>
    <w:rsid w:val="00D37BC8"/>
    <w:rsid w:val="00D41B16"/>
    <w:rsid w:val="00D50169"/>
    <w:rsid w:val="00D51190"/>
    <w:rsid w:val="00D51B28"/>
    <w:rsid w:val="00D51C6C"/>
    <w:rsid w:val="00D52698"/>
    <w:rsid w:val="00D5443F"/>
    <w:rsid w:val="00D54ED0"/>
    <w:rsid w:val="00D558F5"/>
    <w:rsid w:val="00D55AF8"/>
    <w:rsid w:val="00D55D99"/>
    <w:rsid w:val="00D60F08"/>
    <w:rsid w:val="00D6155F"/>
    <w:rsid w:val="00D647AD"/>
    <w:rsid w:val="00D64B49"/>
    <w:rsid w:val="00D64E9D"/>
    <w:rsid w:val="00D71AC3"/>
    <w:rsid w:val="00D71F4F"/>
    <w:rsid w:val="00D72411"/>
    <w:rsid w:val="00D73AE9"/>
    <w:rsid w:val="00D8205E"/>
    <w:rsid w:val="00D82F85"/>
    <w:rsid w:val="00D84DB0"/>
    <w:rsid w:val="00D85FC0"/>
    <w:rsid w:val="00D86424"/>
    <w:rsid w:val="00DA2C06"/>
    <w:rsid w:val="00DA6E4A"/>
    <w:rsid w:val="00DB0826"/>
    <w:rsid w:val="00DB5B42"/>
    <w:rsid w:val="00DC12EB"/>
    <w:rsid w:val="00DC703F"/>
    <w:rsid w:val="00DC7688"/>
    <w:rsid w:val="00DD01AF"/>
    <w:rsid w:val="00DD08FA"/>
    <w:rsid w:val="00DD6D29"/>
    <w:rsid w:val="00DE4ABD"/>
    <w:rsid w:val="00DF2E41"/>
    <w:rsid w:val="00E00157"/>
    <w:rsid w:val="00E0022C"/>
    <w:rsid w:val="00E12A3D"/>
    <w:rsid w:val="00E14E4B"/>
    <w:rsid w:val="00E15367"/>
    <w:rsid w:val="00E20575"/>
    <w:rsid w:val="00E22754"/>
    <w:rsid w:val="00E22E34"/>
    <w:rsid w:val="00E2377C"/>
    <w:rsid w:val="00E23E81"/>
    <w:rsid w:val="00E27B4A"/>
    <w:rsid w:val="00E30F94"/>
    <w:rsid w:val="00E32117"/>
    <w:rsid w:val="00E339BC"/>
    <w:rsid w:val="00E40FE2"/>
    <w:rsid w:val="00E41288"/>
    <w:rsid w:val="00E4342D"/>
    <w:rsid w:val="00E477E1"/>
    <w:rsid w:val="00E4782F"/>
    <w:rsid w:val="00E50A3F"/>
    <w:rsid w:val="00E50D21"/>
    <w:rsid w:val="00E52DE5"/>
    <w:rsid w:val="00E57E72"/>
    <w:rsid w:val="00E61A3C"/>
    <w:rsid w:val="00E62D9B"/>
    <w:rsid w:val="00E63711"/>
    <w:rsid w:val="00E66605"/>
    <w:rsid w:val="00E666D9"/>
    <w:rsid w:val="00E846C5"/>
    <w:rsid w:val="00E8777B"/>
    <w:rsid w:val="00E87A83"/>
    <w:rsid w:val="00E90107"/>
    <w:rsid w:val="00E9171E"/>
    <w:rsid w:val="00EA0458"/>
    <w:rsid w:val="00EA10B2"/>
    <w:rsid w:val="00EA1FC7"/>
    <w:rsid w:val="00EA51B6"/>
    <w:rsid w:val="00EA5CC8"/>
    <w:rsid w:val="00EA755B"/>
    <w:rsid w:val="00EB6030"/>
    <w:rsid w:val="00ED311C"/>
    <w:rsid w:val="00ED4381"/>
    <w:rsid w:val="00ED60B1"/>
    <w:rsid w:val="00EE22AB"/>
    <w:rsid w:val="00EE59C9"/>
    <w:rsid w:val="00EE7114"/>
    <w:rsid w:val="00EF01E2"/>
    <w:rsid w:val="00EF5178"/>
    <w:rsid w:val="00EF6118"/>
    <w:rsid w:val="00F0100A"/>
    <w:rsid w:val="00F03236"/>
    <w:rsid w:val="00F05322"/>
    <w:rsid w:val="00F1365D"/>
    <w:rsid w:val="00F17BE4"/>
    <w:rsid w:val="00F20CFB"/>
    <w:rsid w:val="00F21D52"/>
    <w:rsid w:val="00F24665"/>
    <w:rsid w:val="00F356EF"/>
    <w:rsid w:val="00F437BA"/>
    <w:rsid w:val="00F44956"/>
    <w:rsid w:val="00F459F0"/>
    <w:rsid w:val="00F51C60"/>
    <w:rsid w:val="00F54610"/>
    <w:rsid w:val="00F54EC0"/>
    <w:rsid w:val="00F57D98"/>
    <w:rsid w:val="00F610F8"/>
    <w:rsid w:val="00F61BE8"/>
    <w:rsid w:val="00F625D8"/>
    <w:rsid w:val="00F62A67"/>
    <w:rsid w:val="00F64825"/>
    <w:rsid w:val="00F652B3"/>
    <w:rsid w:val="00F6612B"/>
    <w:rsid w:val="00F67E79"/>
    <w:rsid w:val="00F70455"/>
    <w:rsid w:val="00F7359C"/>
    <w:rsid w:val="00F74327"/>
    <w:rsid w:val="00F75D9B"/>
    <w:rsid w:val="00F765BB"/>
    <w:rsid w:val="00F77CD6"/>
    <w:rsid w:val="00F80526"/>
    <w:rsid w:val="00F836D1"/>
    <w:rsid w:val="00F85841"/>
    <w:rsid w:val="00F87304"/>
    <w:rsid w:val="00F915C4"/>
    <w:rsid w:val="00F92341"/>
    <w:rsid w:val="00F92949"/>
    <w:rsid w:val="00F940FB"/>
    <w:rsid w:val="00F97EAF"/>
    <w:rsid w:val="00FA1290"/>
    <w:rsid w:val="00FA3857"/>
    <w:rsid w:val="00FA5B73"/>
    <w:rsid w:val="00FA6A71"/>
    <w:rsid w:val="00FB18FC"/>
    <w:rsid w:val="00FB31D1"/>
    <w:rsid w:val="00FB3DED"/>
    <w:rsid w:val="00FC088E"/>
    <w:rsid w:val="00FC20C9"/>
    <w:rsid w:val="00FC381F"/>
    <w:rsid w:val="00FC586A"/>
    <w:rsid w:val="00FC7660"/>
    <w:rsid w:val="00FC7AF3"/>
    <w:rsid w:val="00FD07E5"/>
    <w:rsid w:val="00FD0B74"/>
    <w:rsid w:val="00FD17E3"/>
    <w:rsid w:val="00FD20C0"/>
    <w:rsid w:val="00FD3AE8"/>
    <w:rsid w:val="00FD40D7"/>
    <w:rsid w:val="00FD5900"/>
    <w:rsid w:val="00FD5A0F"/>
    <w:rsid w:val="00FE01CE"/>
    <w:rsid w:val="00FE0C07"/>
    <w:rsid w:val="00FE0E57"/>
    <w:rsid w:val="00FE59E7"/>
    <w:rsid w:val="00FE65EB"/>
    <w:rsid w:val="00FE6A1E"/>
    <w:rsid w:val="00FF2CE9"/>
    <w:rsid w:val="00FF357E"/>
    <w:rsid w:val="00FF487A"/>
    <w:rsid w:val="00FF69CF"/>
    <w:rsid w:val="00FF6D2A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EF2833-7433-4C2F-99A0-7661D4EF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F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1A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7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2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2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52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A7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7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A7ACF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9F78B2"/>
    <w:pPr>
      <w:spacing w:line="240" w:lineRule="auto"/>
    </w:pPr>
    <w:rPr>
      <w:bCs/>
      <w:sz w:val="19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5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F9E"/>
  </w:style>
  <w:style w:type="paragraph" w:styleId="Stopka">
    <w:name w:val="footer"/>
    <w:basedOn w:val="Normalny"/>
    <w:link w:val="StopkaZnak"/>
    <w:uiPriority w:val="99"/>
    <w:unhideWhenUsed/>
    <w:rsid w:val="00BA5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F9E"/>
  </w:style>
  <w:style w:type="character" w:styleId="Hipercze">
    <w:name w:val="Hyperlink"/>
    <w:basedOn w:val="Domylnaczcionkaakapitu"/>
    <w:uiPriority w:val="99"/>
    <w:unhideWhenUsed/>
    <w:rsid w:val="00CB1EA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84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3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766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85FC0"/>
    <w:rPr>
      <w:color w:val="800080" w:themeColor="followedHyperlink"/>
      <w:u w:val="single"/>
    </w:rPr>
  </w:style>
  <w:style w:type="paragraph" w:styleId="Tekstpodstawowy3">
    <w:name w:val="Body Text 3"/>
    <w:link w:val="Tekstpodstawowy3Znak"/>
    <w:rsid w:val="00B07373"/>
    <w:pPr>
      <w:spacing w:after="120" w:line="249" w:lineRule="auto"/>
    </w:pPr>
    <w:rPr>
      <w:rFonts w:ascii="Tw Cen MT" w:eastAsia="Times New Roman" w:hAnsi="Tw Cen MT" w:cs="Times New Roman"/>
      <w:color w:val="000000"/>
      <w:kern w:val="28"/>
      <w:sz w:val="21"/>
      <w:szCs w:val="21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07373"/>
    <w:rPr>
      <w:rFonts w:ascii="Tw Cen MT" w:eastAsia="Times New Roman" w:hAnsi="Tw Cen MT" w:cs="Times New Roman"/>
      <w:color w:val="000000"/>
      <w:kern w:val="28"/>
      <w:sz w:val="21"/>
      <w:szCs w:val="21"/>
      <w:lang w:eastAsia="pl-PL"/>
    </w:rPr>
  </w:style>
  <w:style w:type="paragraph" w:styleId="Poprawka">
    <w:name w:val="Revision"/>
    <w:hidden/>
    <w:uiPriority w:val="99"/>
    <w:semiHidden/>
    <w:rsid w:val="001C7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_z_obs_ug__makr9.xlsm"/><Relationship Id="rId1" Type="http://schemas.openxmlformats.org/officeDocument/2006/relationships/themeOverride" Target="../theme/themeOverride2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Arkusz_programu_Microsoft_Excel10.xlsx"/><Relationship Id="rId1" Type="http://schemas.openxmlformats.org/officeDocument/2006/relationships/image" Target="../media/image1.png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zasoby\DFF\Forecast\ED\Sprawozdania\2020\kwartalne\Zeszyt-infografiki%202020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Arkusz_programu_Microsoft_Excel5.xlsx"/><Relationship Id="rId1" Type="http://schemas.openxmlformats.org/officeDocument/2006/relationships/image" Target="../media/image1.png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_z_obs_ug__makr6.xlsm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886742194813061E-2"/>
          <c:y val="3.4857565881187928E-2"/>
          <c:w val="0.92919027323419434"/>
          <c:h val="0.78632323992589159"/>
        </c:manualLayout>
      </c:layout>
      <c:lineChart>
        <c:grouping val="standard"/>
        <c:varyColors val="0"/>
        <c:ser>
          <c:idx val="4"/>
          <c:order val="0"/>
          <c:spPr>
            <a:ln>
              <a:solidFill>
                <a:schemeClr val="tx2"/>
              </a:solidFill>
            </a:ln>
          </c:spPr>
          <c:marker>
            <c:symbol val="diamond"/>
            <c:size val="6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dPt>
            <c:idx val="0"/>
            <c:bubble3D val="0"/>
          </c:dPt>
          <c:dLbls>
            <c:dLbl>
              <c:idx val="0"/>
              <c:layout>
                <c:manualLayout>
                  <c:x val="-3.2983068426571178E-2"/>
                  <c:y val="-7.4088414994773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204209854744905E-2"/>
                  <c:y val="7.6426107230357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8487245831112344E-2"/>
                  <c:y val="-5.5125998488838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963763824457819E-2"/>
                  <c:y val="5.5092178234722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3444277700791224E-2"/>
                  <c:y val="-5.4663959773180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509722981874971E-2"/>
                  <c:y val="7.8730025474756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161305524882784E-2"/>
                  <c:y val="-8.32628917708815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4223485825739595E-2"/>
                  <c:y val="6.994316427358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0911658019587729E-2"/>
                  <c:y val="5.6316426350357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0763577726152628E-2"/>
                  <c:y val="-6.4607073084624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7501504972428906E-2"/>
                  <c:y val="-8.036031341670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7883922766534916E-3"/>
                  <c:y val="-2.9075478616643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8632745249383085E-2"/>
                  <c:y val="4.0714227464995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4.3702819451264648E-2"/>
                  <c:y val="-5.8692997371690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7147396533574871E-2"/>
                  <c:y val="4.5029233545715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4.3702819451264648E-2"/>
                  <c:y val="-3.8596485896327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8407004701666315E-2"/>
                  <c:y val="3.8596485896327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2777114588448487E-2"/>
                  <c:y val="-5.7894728844491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0591973615885171E-2"/>
                  <c:y val="4.5029233545715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1.0925704862816162E-2"/>
                  <c:y val="6.4327476493879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6.1182375138887454E-2"/>
                  <c:y val="-2.5425544233441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1.966626875306909E-2"/>
                  <c:y val="-2.5731497113114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4.1517678478701414E-2"/>
                  <c:y val="3.8596485896327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1.7481127780505857E-2"/>
                  <c:y val="2.573099059755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0"/>
                  <c:y val="-3.2163738246939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2.62216916707587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Arkusz1!$L$2:$L$14</c:f>
              <c:strCache>
                <c:ptCount val="13"/>
                <c:pt idx="0">
                  <c:v>I półr. 2014</c:v>
                </c:pt>
                <c:pt idx="1">
                  <c:v>II półr. 2014</c:v>
                </c:pt>
                <c:pt idx="2">
                  <c:v>I półr. 2015</c:v>
                </c:pt>
                <c:pt idx="3">
                  <c:v>II półr. 2015</c:v>
                </c:pt>
                <c:pt idx="4">
                  <c:v>I półr. 2016</c:v>
                </c:pt>
                <c:pt idx="5">
                  <c:v> II półr. 2016</c:v>
                </c:pt>
                <c:pt idx="6">
                  <c:v>I półr. 2017</c:v>
                </c:pt>
                <c:pt idx="7">
                  <c:v>II półr. 2017</c:v>
                </c:pt>
                <c:pt idx="8">
                  <c:v>I półr. 2018</c:v>
                </c:pt>
                <c:pt idx="9">
                  <c:v>II półr. 2018</c:v>
                </c:pt>
                <c:pt idx="10">
                  <c:v>I półr. 2019</c:v>
                </c:pt>
                <c:pt idx="11">
                  <c:v>II półr. 2019</c:v>
                </c:pt>
                <c:pt idx="12">
                  <c:v>I półr. 2020</c:v>
                </c:pt>
              </c:strCache>
            </c:strRef>
          </c:cat>
          <c:val>
            <c:numRef>
              <c:f>Arkusz1!$M$2:$M$14</c:f>
              <c:numCache>
                <c:formatCode>0.0%</c:formatCode>
                <c:ptCount val="13"/>
                <c:pt idx="0">
                  <c:v>0.67859542790802829</c:v>
                </c:pt>
                <c:pt idx="1">
                  <c:v>0.69093174304860561</c:v>
                </c:pt>
                <c:pt idx="2">
                  <c:v>0.73670563626451802</c:v>
                </c:pt>
                <c:pt idx="3">
                  <c:v>0.70204724244882943</c:v>
                </c:pt>
                <c:pt idx="4">
                  <c:v>0.75321985917993073</c:v>
                </c:pt>
                <c:pt idx="5">
                  <c:v>0.73061252950202948</c:v>
                </c:pt>
                <c:pt idx="6">
                  <c:v>0.79235014090563727</c:v>
                </c:pt>
                <c:pt idx="7">
                  <c:v>0.77853445429718005</c:v>
                </c:pt>
                <c:pt idx="8">
                  <c:v>0.79038347576180368</c:v>
                </c:pt>
                <c:pt idx="9">
                  <c:v>0.78208100567286143</c:v>
                </c:pt>
                <c:pt idx="10">
                  <c:v>0.81887201571627444</c:v>
                </c:pt>
                <c:pt idx="11">
                  <c:v>0.80778844479217604</c:v>
                </c:pt>
                <c:pt idx="12">
                  <c:v>0.70923283361110911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4166144"/>
        <c:axId val="524166928"/>
      </c:lineChart>
      <c:catAx>
        <c:axId val="52416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524166928"/>
        <c:crosses val="autoZero"/>
        <c:auto val="1"/>
        <c:lblAlgn val="ctr"/>
        <c:lblOffset val="100"/>
        <c:noMultiLvlLbl val="0"/>
      </c:catAx>
      <c:valAx>
        <c:axId val="524166928"/>
        <c:scaling>
          <c:orientation val="minMax"/>
          <c:max val="0.9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spPr>
          <a:ln>
            <a:solidFill>
              <a:schemeClr val="accent1">
                <a:lumMod val="75000"/>
              </a:schemeClr>
            </a:solidFill>
          </a:ln>
        </c:spPr>
        <c:txPr>
          <a:bodyPr/>
          <a:lstStyle/>
          <a:p>
            <a:pPr>
              <a:defRPr sz="900"/>
            </a:pPr>
            <a:endParaRPr lang="pl-PL"/>
          </a:p>
        </c:txPr>
        <c:crossAx val="524166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025864822452742E-2"/>
          <c:y val="4.797253053339371E-2"/>
          <c:w val="0.91734238067234963"/>
          <c:h val="0.71916538365665184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00416E"/>
              </a:solidFill>
            </a:ln>
            <a:effectLst/>
          </c:spPr>
          <c:marker>
            <c:symbol val="none"/>
          </c:marker>
          <c:cat>
            <c:numRef>
              <c:f>Arkusz1!$A$1:$A$90</c:f>
              <c:numCache>
                <c:formatCode>[$-415]mmm\ yy;@</c:formatCode>
                <c:ptCount val="90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  <c:pt idx="25">
                  <c:v>42036</c:v>
                </c:pt>
                <c:pt idx="26">
                  <c:v>42064</c:v>
                </c:pt>
                <c:pt idx="27">
                  <c:v>42095</c:v>
                </c:pt>
                <c:pt idx="28">
                  <c:v>42125</c:v>
                </c:pt>
                <c:pt idx="29">
                  <c:v>42156</c:v>
                </c:pt>
                <c:pt idx="30">
                  <c:v>42186</c:v>
                </c:pt>
                <c:pt idx="31">
                  <c:v>42217</c:v>
                </c:pt>
                <c:pt idx="32">
                  <c:v>42248</c:v>
                </c:pt>
                <c:pt idx="33">
                  <c:v>42278</c:v>
                </c:pt>
                <c:pt idx="34">
                  <c:v>42309</c:v>
                </c:pt>
                <c:pt idx="35">
                  <c:v>42339</c:v>
                </c:pt>
                <c:pt idx="36">
                  <c:v>42370</c:v>
                </c:pt>
                <c:pt idx="37">
                  <c:v>42401</c:v>
                </c:pt>
                <c:pt idx="38">
                  <c:v>42430</c:v>
                </c:pt>
                <c:pt idx="39">
                  <c:v>42461</c:v>
                </c:pt>
                <c:pt idx="40">
                  <c:v>42491</c:v>
                </c:pt>
                <c:pt idx="41">
                  <c:v>42522</c:v>
                </c:pt>
                <c:pt idx="42">
                  <c:v>42552</c:v>
                </c:pt>
                <c:pt idx="43">
                  <c:v>42583</c:v>
                </c:pt>
                <c:pt idx="44">
                  <c:v>42614</c:v>
                </c:pt>
                <c:pt idx="45">
                  <c:v>42644</c:v>
                </c:pt>
                <c:pt idx="46">
                  <c:v>42675</c:v>
                </c:pt>
                <c:pt idx="47">
                  <c:v>42705</c:v>
                </c:pt>
                <c:pt idx="48">
                  <c:v>42736</c:v>
                </c:pt>
                <c:pt idx="49">
                  <c:v>42767</c:v>
                </c:pt>
                <c:pt idx="50">
                  <c:v>42795</c:v>
                </c:pt>
                <c:pt idx="51">
                  <c:v>42826</c:v>
                </c:pt>
                <c:pt idx="52">
                  <c:v>42856</c:v>
                </c:pt>
                <c:pt idx="53">
                  <c:v>42887</c:v>
                </c:pt>
                <c:pt idx="54">
                  <c:v>42917</c:v>
                </c:pt>
                <c:pt idx="55">
                  <c:v>42948</c:v>
                </c:pt>
                <c:pt idx="56">
                  <c:v>42979</c:v>
                </c:pt>
                <c:pt idx="57">
                  <c:v>43009</c:v>
                </c:pt>
                <c:pt idx="58">
                  <c:v>43040</c:v>
                </c:pt>
                <c:pt idx="59">
                  <c:v>43070</c:v>
                </c:pt>
                <c:pt idx="60">
                  <c:v>43101</c:v>
                </c:pt>
                <c:pt idx="61">
                  <c:v>43132</c:v>
                </c:pt>
                <c:pt idx="62">
                  <c:v>43160</c:v>
                </c:pt>
                <c:pt idx="63">
                  <c:v>43191</c:v>
                </c:pt>
                <c:pt idx="64">
                  <c:v>43221</c:v>
                </c:pt>
                <c:pt idx="65">
                  <c:v>43252</c:v>
                </c:pt>
                <c:pt idx="66">
                  <c:v>43282</c:v>
                </c:pt>
                <c:pt idx="67">
                  <c:v>43313</c:v>
                </c:pt>
                <c:pt idx="68">
                  <c:v>43344</c:v>
                </c:pt>
                <c:pt idx="69">
                  <c:v>43374</c:v>
                </c:pt>
                <c:pt idx="70">
                  <c:v>43405</c:v>
                </c:pt>
                <c:pt idx="71">
                  <c:v>43435</c:v>
                </c:pt>
                <c:pt idx="72">
                  <c:v>43466</c:v>
                </c:pt>
                <c:pt idx="73">
                  <c:v>43497</c:v>
                </c:pt>
                <c:pt idx="74">
                  <c:v>43525</c:v>
                </c:pt>
                <c:pt idx="75">
                  <c:v>43556</c:v>
                </c:pt>
                <c:pt idx="76">
                  <c:v>43586</c:v>
                </c:pt>
                <c:pt idx="77">
                  <c:v>43617</c:v>
                </c:pt>
                <c:pt idx="78">
                  <c:v>43647</c:v>
                </c:pt>
                <c:pt idx="79">
                  <c:v>43678</c:v>
                </c:pt>
                <c:pt idx="80">
                  <c:v>43709</c:v>
                </c:pt>
                <c:pt idx="81">
                  <c:v>43739</c:v>
                </c:pt>
                <c:pt idx="82">
                  <c:v>43770</c:v>
                </c:pt>
                <c:pt idx="83">
                  <c:v>43800</c:v>
                </c:pt>
                <c:pt idx="84">
                  <c:v>43831</c:v>
                </c:pt>
                <c:pt idx="85">
                  <c:v>43862</c:v>
                </c:pt>
                <c:pt idx="86">
                  <c:v>43891</c:v>
                </c:pt>
                <c:pt idx="87">
                  <c:v>43922</c:v>
                </c:pt>
                <c:pt idx="88">
                  <c:v>43952</c:v>
                </c:pt>
                <c:pt idx="89">
                  <c:v>43983</c:v>
                </c:pt>
              </c:numCache>
            </c:numRef>
          </c:cat>
          <c:val>
            <c:numRef>
              <c:f>Arkusz1!$B$1:$B$90</c:f>
              <c:numCache>
                <c:formatCode>#,##0.00</c:formatCode>
                <c:ptCount val="90"/>
                <c:pt idx="0">
                  <c:v>1880.2562411647648</c:v>
                </c:pt>
                <c:pt idx="1">
                  <c:v>1885.7864710401832</c:v>
                </c:pt>
                <c:pt idx="2">
                  <c:v>1963.3965889708554</c:v>
                </c:pt>
                <c:pt idx="3">
                  <c:v>1965.186144718921</c:v>
                </c:pt>
                <c:pt idx="4">
                  <c:v>1967.059569609462</c:v>
                </c:pt>
                <c:pt idx="5">
                  <c:v>1968.8980553964298</c:v>
                </c:pt>
                <c:pt idx="6">
                  <c:v>1970.228592221591</c:v>
                </c:pt>
                <c:pt idx="7">
                  <c:v>1971.459137200635</c:v>
                </c:pt>
                <c:pt idx="8">
                  <c:v>1972.5492804973594</c:v>
                </c:pt>
                <c:pt idx="9">
                  <c:v>1974.1685357242636</c:v>
                </c:pt>
                <c:pt idx="10">
                  <c:v>1976.0785650935866</c:v>
                </c:pt>
                <c:pt idx="11">
                  <c:v>1977.2129293909211</c:v>
                </c:pt>
                <c:pt idx="12">
                  <c:v>1978.8624756752681</c:v>
                </c:pt>
                <c:pt idx="13">
                  <c:v>1980.9744854804133</c:v>
                </c:pt>
                <c:pt idx="14">
                  <c:v>2014.6038150057286</c:v>
                </c:pt>
                <c:pt idx="15">
                  <c:v>2016.3619582645035</c:v>
                </c:pt>
                <c:pt idx="16">
                  <c:v>2018.2990958033427</c:v>
                </c:pt>
                <c:pt idx="17">
                  <c:v>2020.2884409573171</c:v>
                </c:pt>
                <c:pt idx="18">
                  <c:v>2021.8227533246916</c:v>
                </c:pt>
                <c:pt idx="19">
                  <c:v>2023.4975849227217</c:v>
                </c:pt>
                <c:pt idx="20">
                  <c:v>2025.3203176315503</c:v>
                </c:pt>
                <c:pt idx="21">
                  <c:v>2027.3772966170313</c:v>
                </c:pt>
                <c:pt idx="22">
                  <c:v>2029.3786404134007</c:v>
                </c:pt>
                <c:pt idx="23">
                  <c:v>2030.9572058794888</c:v>
                </c:pt>
                <c:pt idx="24">
                  <c:v>2032.5921686185436</c:v>
                </c:pt>
                <c:pt idx="25">
                  <c:v>2035.4053854921374</c:v>
                </c:pt>
                <c:pt idx="26">
                  <c:v>2073.9221991408281</c:v>
                </c:pt>
                <c:pt idx="27">
                  <c:v>2075.9524699646008</c:v>
                </c:pt>
                <c:pt idx="28">
                  <c:v>2078.4510811592613</c:v>
                </c:pt>
                <c:pt idx="29">
                  <c:v>2080.3014100142686</c:v>
                </c:pt>
                <c:pt idx="30">
                  <c:v>2083.5461225614031</c:v>
                </c:pt>
                <c:pt idx="31">
                  <c:v>2086.0574982155472</c:v>
                </c:pt>
                <c:pt idx="32">
                  <c:v>2088.8455843332772</c:v>
                </c:pt>
                <c:pt idx="33">
                  <c:v>2090.4634810978487</c:v>
                </c:pt>
                <c:pt idx="34">
                  <c:v>2093.2410160631534</c:v>
                </c:pt>
                <c:pt idx="35">
                  <c:v>2095.3587323169331</c:v>
                </c:pt>
                <c:pt idx="36">
                  <c:v>2097.0462132449934</c:v>
                </c:pt>
                <c:pt idx="37">
                  <c:v>2099.7651339710969</c:v>
                </c:pt>
                <c:pt idx="38">
                  <c:v>2108.9365798851268</c:v>
                </c:pt>
                <c:pt idx="39">
                  <c:v>2109.5435780033863</c:v>
                </c:pt>
                <c:pt idx="40">
                  <c:v>2112.0067240689955</c:v>
                </c:pt>
                <c:pt idx="41">
                  <c:v>2114.2590462037856</c:v>
                </c:pt>
                <c:pt idx="42">
                  <c:v>2115.753458496205</c:v>
                </c:pt>
                <c:pt idx="43">
                  <c:v>2117.5173481594848</c:v>
                </c:pt>
                <c:pt idx="44">
                  <c:v>2119.8309323978674</c:v>
                </c:pt>
                <c:pt idx="45">
                  <c:v>2122.2260065332343</c:v>
                </c:pt>
                <c:pt idx="46">
                  <c:v>2124.4332415230278</c:v>
                </c:pt>
                <c:pt idx="47">
                  <c:v>2126.4102887175109</c:v>
                </c:pt>
                <c:pt idx="48">
                  <c:v>2128.3747220271789</c:v>
                </c:pt>
                <c:pt idx="49">
                  <c:v>2131.5042423255059</c:v>
                </c:pt>
                <c:pt idx="50">
                  <c:v>2147.7987019919224</c:v>
                </c:pt>
                <c:pt idx="51">
                  <c:v>2150.2365655473868</c:v>
                </c:pt>
                <c:pt idx="52">
                  <c:v>2152.6348338851049</c:v>
                </c:pt>
                <c:pt idx="53">
                  <c:v>2154.7538101654013</c:v>
                </c:pt>
                <c:pt idx="54">
                  <c:v>2156.1883981007823</c:v>
                </c:pt>
                <c:pt idx="55">
                  <c:v>2158.0552671161695</c:v>
                </c:pt>
                <c:pt idx="56">
                  <c:v>2160.83453414517</c:v>
                </c:pt>
                <c:pt idx="57">
                  <c:v>2164.7746355250747</c:v>
                </c:pt>
                <c:pt idx="58">
                  <c:v>2166.4779766773231</c:v>
                </c:pt>
                <c:pt idx="59">
                  <c:v>2167.7112860138277</c:v>
                </c:pt>
                <c:pt idx="60">
                  <c:v>2168.0201639423194</c:v>
                </c:pt>
                <c:pt idx="61">
                  <c:v>2170.3420993719146</c:v>
                </c:pt>
                <c:pt idx="62">
                  <c:v>2237.9631014789429</c:v>
                </c:pt>
                <c:pt idx="63">
                  <c:v>2239.0757226846194</c:v>
                </c:pt>
                <c:pt idx="64">
                  <c:v>2240.3616852377259</c:v>
                </c:pt>
                <c:pt idx="65">
                  <c:v>2241.1712147343833</c:v>
                </c:pt>
                <c:pt idx="66">
                  <c:v>2241.4235033481941</c:v>
                </c:pt>
                <c:pt idx="67">
                  <c:v>2242.8061958311246</c:v>
                </c:pt>
                <c:pt idx="68">
                  <c:v>2246.3514094357879</c:v>
                </c:pt>
                <c:pt idx="69">
                  <c:v>2249.3526180303293</c:v>
                </c:pt>
                <c:pt idx="70">
                  <c:v>2251.6438122720369</c:v>
                </c:pt>
                <c:pt idx="71">
                  <c:v>2253.272197758019</c:v>
                </c:pt>
                <c:pt idx="72">
                  <c:v>2254.8343835177197</c:v>
                </c:pt>
                <c:pt idx="73">
                  <c:v>2257.5115471541685</c:v>
                </c:pt>
                <c:pt idx="74">
                  <c:v>2338.0779517009773</c:v>
                </c:pt>
                <c:pt idx="75">
                  <c:v>2339.1576956718491</c:v>
                </c:pt>
                <c:pt idx="76">
                  <c:v>2340.5692869851987</c:v>
                </c:pt>
                <c:pt idx="77">
                  <c:v>2342.220287948106</c:v>
                </c:pt>
                <c:pt idx="78">
                  <c:v>2343.0072459637217</c:v>
                </c:pt>
                <c:pt idx="79">
                  <c:v>2346.8062514287608</c:v>
                </c:pt>
                <c:pt idx="80">
                  <c:v>2350.0484183158082</c:v>
                </c:pt>
                <c:pt idx="81">
                  <c:v>2353.2682085560855</c:v>
                </c:pt>
                <c:pt idx="82">
                  <c:v>2356.1882298078881</c:v>
                </c:pt>
                <c:pt idx="83">
                  <c:v>2358.4212877803939</c:v>
                </c:pt>
                <c:pt idx="84">
                  <c:v>2360.4813046815198</c:v>
                </c:pt>
                <c:pt idx="85">
                  <c:v>2365.8887173649036</c:v>
                </c:pt>
                <c:pt idx="86">
                  <c:v>2460.8349675173486</c:v>
                </c:pt>
                <c:pt idx="87">
                  <c:v>2460.0406405162944</c:v>
                </c:pt>
                <c:pt idx="88">
                  <c:v>2461.5217727691374</c:v>
                </c:pt>
                <c:pt idx="89">
                  <c:v>2463.2653236276888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44949784"/>
        <c:axId val="644950176"/>
      </c:lineChart>
      <c:catAx>
        <c:axId val="64494978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[$-415]mmm\ yy;@" sourceLinked="1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75000"/>
              </a:sysClr>
            </a:solidFill>
          </a:ln>
          <a:effectLst/>
        </c:spPr>
        <c:txPr>
          <a:bodyPr rot="-5400000" vert="horz"/>
          <a:lstStyle/>
          <a:p>
            <a:pPr>
              <a:defRPr sz="850" baseline="0">
                <a:latin typeface="+mn-lt"/>
              </a:defRPr>
            </a:pPr>
            <a:endParaRPr lang="pl-PL"/>
          </a:p>
        </c:txPr>
        <c:crossAx val="644950176"/>
        <c:crosses val="autoZero"/>
        <c:auto val="0"/>
        <c:lblAlgn val="ctr"/>
        <c:lblOffset val="100"/>
        <c:tickLblSkip val="2"/>
        <c:tickMarkSkip val="2"/>
        <c:noMultiLvlLbl val="0"/>
      </c:catAx>
      <c:valAx>
        <c:axId val="644950176"/>
        <c:scaling>
          <c:orientation val="minMax"/>
          <c:max val="2550"/>
          <c:min val="1850"/>
        </c:scaling>
        <c:delete val="0"/>
        <c:axPos val="l"/>
        <c:majorGridlines>
          <c:spPr>
            <a:ln>
              <a:solidFill>
                <a:sysClr val="window" lastClr="FFFFFF">
                  <a:lumMod val="85000"/>
                </a:sysClr>
              </a:solidFill>
              <a:prstDash val="dash"/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ysClr val="window" lastClr="FFFFFF">
                <a:lumMod val="75000"/>
              </a:sysClr>
            </a:solidFill>
          </a:ln>
        </c:spPr>
        <c:txPr>
          <a:bodyPr/>
          <a:lstStyle/>
          <a:p>
            <a:pPr>
              <a:defRPr sz="900">
                <a:latin typeface="+mn-lt"/>
              </a:defRPr>
            </a:pPr>
            <a:endParaRPr lang="pl-PL"/>
          </a:p>
        </c:txPr>
        <c:crossAx val="644949784"/>
        <c:crosses val="autoZero"/>
        <c:crossBetween val="between"/>
        <c:majorUnit val="100"/>
      </c:valAx>
    </c:plotArea>
    <c:plotVisOnly val="1"/>
    <c:dispBlanksAs val="gap"/>
    <c:showDLblsOverMax val="0"/>
  </c:chart>
  <c:spPr>
    <a:solidFill>
      <a:sysClr val="window" lastClr="FFFFFF"/>
    </a:solidFill>
    <a:ln>
      <a:noFill/>
    </a:ln>
  </c:spPr>
  <c:txPr>
    <a:bodyPr/>
    <a:lstStyle/>
    <a:p>
      <a:pPr>
        <a:spcBef>
          <a:spcPts val="600"/>
        </a:spcBef>
        <a:spcAft>
          <a:spcPts val="600"/>
        </a:spcAft>
        <a:defRPr sz="1100">
          <a:latin typeface="Garamond" panose="02020404030301010803" pitchFamily="18" charset="0"/>
        </a:defRPr>
      </a:pPr>
      <a:endParaRPr lang="pl-PL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502042377153177E-2"/>
          <c:y val="5.0342452956092354E-2"/>
          <c:w val="0.81075249381488723"/>
          <c:h val="0.6995081782239991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993F"/>
            </a:solidFill>
            <a:ln>
              <a:noFill/>
            </a:ln>
          </c:spPr>
          <c:invertIfNegative val="0"/>
          <c:cat>
            <c:strRef>
              <c:f>Arkusz1!$A$2:$A$13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Arkusz1!$B$2:$B$13</c:f>
              <c:numCache>
                <c:formatCode>#,##0</c:formatCode>
                <c:ptCount val="12"/>
                <c:pt idx="0">
                  <c:v>2227248.04128</c:v>
                </c:pt>
                <c:pt idx="1">
                  <c:v>4367027.3120100005</c:v>
                </c:pt>
                <c:pt idx="2">
                  <c:v>6469554.8040899998</c:v>
                </c:pt>
                <c:pt idx="3">
                  <c:v>8516536.6680999994</c:v>
                </c:pt>
                <c:pt idx="4">
                  <c:v>10664439.862849999</c:v>
                </c:pt>
                <c:pt idx="5">
                  <c:v>12741658.83825</c:v>
                </c:pt>
                <c:pt idx="6">
                  <c:v>14897009</c:v>
                </c:pt>
                <c:pt idx="7">
                  <c:v>17009105</c:v>
                </c:pt>
                <c:pt idx="8">
                  <c:v>19181230</c:v>
                </c:pt>
                <c:pt idx="9">
                  <c:v>21369507.927220002</c:v>
                </c:pt>
                <c:pt idx="10">
                  <c:v>23548339</c:v>
                </c:pt>
                <c:pt idx="11">
                  <c:v>25781626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overlap val="100"/>
        <c:axId val="644949000"/>
        <c:axId val="644948608"/>
      </c:barChart>
      <c:barChart>
        <c:barDir val="col"/>
        <c:grouping val="stacked"/>
        <c:varyColors val="0"/>
        <c:ser>
          <c:idx val="1"/>
          <c:order val="1"/>
          <c:tx>
            <c:strRef>
              <c:f>Arkusz1!$C$1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05E5E"/>
            </a:solidFill>
          </c:spPr>
          <c:invertIfNegative val="0"/>
          <c:cat>
            <c:strRef>
              <c:f>Arkusz1!$A$2:$A$13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Arkusz1!$C$2:$C$13</c:f>
              <c:numCache>
                <c:formatCode>#,##0</c:formatCode>
                <c:ptCount val="12"/>
                <c:pt idx="0">
                  <c:v>2375749</c:v>
                </c:pt>
                <c:pt idx="1">
                  <c:v>4668064</c:v>
                </c:pt>
                <c:pt idx="2">
                  <c:v>6831007.1121199997</c:v>
                </c:pt>
                <c:pt idx="3">
                  <c:v>9061030.7987700012</c:v>
                </c:pt>
                <c:pt idx="4">
                  <c:v>12003873.705010001</c:v>
                </c:pt>
                <c:pt idx="5">
                  <c:v>15325525.237910001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44947040"/>
        <c:axId val="644947432"/>
      </c:barChart>
      <c:lineChart>
        <c:grouping val="standard"/>
        <c:varyColors val="0"/>
        <c:ser>
          <c:idx val="2"/>
          <c:order val="2"/>
          <c:tx>
            <c:strRef>
              <c:f>Arkusz1!$D$1</c:f>
              <c:strCache>
                <c:ptCount val="1"/>
                <c:pt idx="0">
                  <c:v>PLAN 2020</c:v>
                </c:pt>
              </c:strCache>
            </c:strRef>
          </c:tx>
          <c:spPr>
            <a:ln>
              <a:noFill/>
            </a:ln>
          </c:spPr>
          <c:marker>
            <c:symbol val="picture"/>
            <c:spPr>
              <a:blipFill>
                <a:blip xmlns:r="http://schemas.openxmlformats.org/officeDocument/2006/relationships" r:embed="rId1"/>
                <a:stretch>
                  <a:fillRect/>
                </a:stretch>
              </a:blipFill>
              <a:ln>
                <a:solidFill>
                  <a:srgbClr val="00416E"/>
                </a:solidFill>
              </a:ln>
            </c:spPr>
          </c:marker>
          <c:cat>
            <c:strRef>
              <c:f>Arkusz1!$A$2:$A$13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Arkusz1!$D$2:$D$13</c:f>
              <c:numCache>
                <c:formatCode>#,##0</c:formatCode>
                <c:ptCount val="12"/>
                <c:pt idx="0">
                  <c:v>2316174.5</c:v>
                </c:pt>
                <c:pt idx="1">
                  <c:v>4632349</c:v>
                </c:pt>
                <c:pt idx="2">
                  <c:v>6948523.5</c:v>
                </c:pt>
                <c:pt idx="3">
                  <c:v>9264698</c:v>
                </c:pt>
                <c:pt idx="4">
                  <c:v>11580872.500000002</c:v>
                </c:pt>
                <c:pt idx="5">
                  <c:v>13897047.000000002</c:v>
                </c:pt>
                <c:pt idx="6">
                  <c:v>16213221.500000004</c:v>
                </c:pt>
                <c:pt idx="7">
                  <c:v>18529396.000000004</c:v>
                </c:pt>
                <c:pt idx="8">
                  <c:v>20845570.500000004</c:v>
                </c:pt>
                <c:pt idx="9">
                  <c:v>23161745.000000007</c:v>
                </c:pt>
                <c:pt idx="10">
                  <c:v>25477919.500000007</c:v>
                </c:pt>
                <c:pt idx="11">
                  <c:v>27794094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4949000"/>
        <c:axId val="644948608"/>
      </c:lineChart>
      <c:catAx>
        <c:axId val="644949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900"/>
            </a:pPr>
            <a:endParaRPr lang="pl-PL"/>
          </a:p>
        </c:txPr>
        <c:crossAx val="644948608"/>
        <c:crosses val="autoZero"/>
        <c:auto val="1"/>
        <c:lblAlgn val="ctr"/>
        <c:lblOffset val="100"/>
        <c:noMultiLvlLbl val="0"/>
      </c:catAx>
      <c:valAx>
        <c:axId val="644948608"/>
        <c:scaling>
          <c:orientation val="minMax"/>
          <c:max val="280000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dash"/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900"/>
            </a:pPr>
            <a:endParaRPr lang="pl-PL"/>
          </a:p>
        </c:txPr>
        <c:crossAx val="644949000"/>
        <c:crosses val="autoZero"/>
        <c:crossBetween val="between"/>
        <c:majorUnit val="3000000"/>
        <c:dispUnits>
          <c:builtInUnit val="millions"/>
        </c:dispUnits>
      </c:valAx>
      <c:valAx>
        <c:axId val="644947432"/>
        <c:scaling>
          <c:orientation val="minMax"/>
          <c:max val="30000000"/>
        </c:scaling>
        <c:delete val="1"/>
        <c:axPos val="r"/>
        <c:numFmt formatCode="#,##0" sourceLinked="1"/>
        <c:majorTickMark val="out"/>
        <c:minorTickMark val="none"/>
        <c:tickLblPos val="nextTo"/>
        <c:crossAx val="644947040"/>
        <c:crosses val="max"/>
        <c:crossBetween val="between"/>
      </c:valAx>
      <c:catAx>
        <c:axId val="6449470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4494743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90478090073177941"/>
          <c:y val="0.26837184286390431"/>
          <c:w val="9.5219099268220614E-2"/>
          <c:h val="0.3805760101996255"/>
        </c:manualLayout>
      </c:layout>
      <c:overlay val="0"/>
      <c:txPr>
        <a:bodyPr/>
        <a:lstStyle/>
        <a:p>
          <a:pPr>
            <a:defRPr sz="95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406654813309628E-2"/>
          <c:y val="0.13280556146697878"/>
          <c:w val="0.93663511162228319"/>
          <c:h val="0.65390826146731662"/>
        </c:manualLayout>
      </c:layout>
      <c:lineChart>
        <c:grouping val="standard"/>
        <c:varyColors val="0"/>
        <c:ser>
          <c:idx val="0"/>
          <c:order val="0"/>
          <c:tx>
            <c:strRef>
              <c:f>Arkusz1!$C$1</c:f>
              <c:strCache>
                <c:ptCount val="1"/>
                <c:pt idx="0">
                  <c:v>Zasiłki macierzyńskie</c:v>
                </c:pt>
              </c:strCache>
            </c:strRef>
          </c:tx>
          <c:spPr>
            <a:ln>
              <a:solidFill>
                <a:srgbClr val="00993F"/>
              </a:solidFill>
            </a:ln>
          </c:spPr>
          <c:marker>
            <c:symbol val="none"/>
          </c:marker>
          <c:cat>
            <c:numRef>
              <c:f>Arkusz1!$A$2:$A$79</c:f>
              <c:numCache>
                <c:formatCode>[$-415]mmm\ yy;@</c:formatCode>
                <c:ptCount val="78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</c:numCache>
            </c:numRef>
          </c:cat>
          <c:val>
            <c:numRef>
              <c:f>Arkusz1!$C$2:$C$79</c:f>
              <c:numCache>
                <c:formatCode>#,##0.00</c:formatCode>
                <c:ptCount val="78"/>
                <c:pt idx="0">
                  <c:v>66.171568867108178</c:v>
                </c:pt>
                <c:pt idx="1">
                  <c:v>66.551792678094117</c:v>
                </c:pt>
                <c:pt idx="2">
                  <c:v>67.190822789846223</c:v>
                </c:pt>
                <c:pt idx="3">
                  <c:v>68.405857173897388</c:v>
                </c:pt>
                <c:pt idx="4">
                  <c:v>69.368938615070391</c:v>
                </c:pt>
                <c:pt idx="5">
                  <c:v>70.864527594896003</c:v>
                </c:pt>
                <c:pt idx="6">
                  <c:v>71.59020430355109</c:v>
                </c:pt>
                <c:pt idx="7">
                  <c:v>72.731715839120554</c:v>
                </c:pt>
                <c:pt idx="8">
                  <c:v>73.624198488766012</c:v>
                </c:pt>
                <c:pt idx="9">
                  <c:v>73.25645410301847</c:v>
                </c:pt>
                <c:pt idx="10">
                  <c:v>73.332115813960556</c:v>
                </c:pt>
                <c:pt idx="11">
                  <c:v>73.256994177936321</c:v>
                </c:pt>
                <c:pt idx="12">
                  <c:v>73.805817029383618</c:v>
                </c:pt>
                <c:pt idx="13">
                  <c:v>74.332889242637975</c:v>
                </c:pt>
                <c:pt idx="14">
                  <c:v>74.195142281746698</c:v>
                </c:pt>
                <c:pt idx="15">
                  <c:v>74.934799865704122</c:v>
                </c:pt>
                <c:pt idx="16">
                  <c:v>74.651587447991119</c:v>
                </c:pt>
                <c:pt idx="17">
                  <c:v>75.525537158134753</c:v>
                </c:pt>
                <c:pt idx="18">
                  <c:v>75.761421680152338</c:v>
                </c:pt>
                <c:pt idx="19">
                  <c:v>76.523085287784724</c:v>
                </c:pt>
                <c:pt idx="20">
                  <c:v>76.93276074250717</c:v>
                </c:pt>
                <c:pt idx="21">
                  <c:v>76.312086147521882</c:v>
                </c:pt>
                <c:pt idx="22">
                  <c:v>76.373125414194334</c:v>
                </c:pt>
                <c:pt idx="23">
                  <c:v>76.179017162887391</c:v>
                </c:pt>
                <c:pt idx="24">
                  <c:v>76.466374960205542</c:v>
                </c:pt>
                <c:pt idx="25">
                  <c:v>77.684330865052104</c:v>
                </c:pt>
                <c:pt idx="26">
                  <c:v>76.647806945468091</c:v>
                </c:pt>
                <c:pt idx="27">
                  <c:v>76.957229861850834</c:v>
                </c:pt>
                <c:pt idx="28">
                  <c:v>76.467086802297217</c:v>
                </c:pt>
                <c:pt idx="29">
                  <c:v>76.636036631674941</c:v>
                </c:pt>
                <c:pt idx="30">
                  <c:v>76.438766028514095</c:v>
                </c:pt>
                <c:pt idx="31">
                  <c:v>76.847025486433026</c:v>
                </c:pt>
                <c:pt idx="32">
                  <c:v>76.540170893033377</c:v>
                </c:pt>
                <c:pt idx="33">
                  <c:v>75.841274162444847</c:v>
                </c:pt>
                <c:pt idx="34">
                  <c:v>75.208938619989624</c:v>
                </c:pt>
                <c:pt idx="35">
                  <c:v>74.38136028319667</c:v>
                </c:pt>
                <c:pt idx="36">
                  <c:v>74.826198966015099</c:v>
                </c:pt>
                <c:pt idx="37">
                  <c:v>75.407944587039196</c:v>
                </c:pt>
                <c:pt idx="38">
                  <c:v>74.511152539890347</c:v>
                </c:pt>
                <c:pt idx="39">
                  <c:v>74.931244099709332</c:v>
                </c:pt>
                <c:pt idx="40">
                  <c:v>74.766340806948918</c:v>
                </c:pt>
                <c:pt idx="41">
                  <c:v>75.226485110509657</c:v>
                </c:pt>
                <c:pt idx="42">
                  <c:v>75.303969802185719</c:v>
                </c:pt>
                <c:pt idx="43">
                  <c:v>75.987317151231053</c:v>
                </c:pt>
                <c:pt idx="44">
                  <c:v>76.592679921684891</c:v>
                </c:pt>
                <c:pt idx="45">
                  <c:v>76.089534014929868</c:v>
                </c:pt>
                <c:pt idx="46">
                  <c:v>76.108849967829968</c:v>
                </c:pt>
                <c:pt idx="47">
                  <c:v>75.399327546762734</c:v>
                </c:pt>
                <c:pt idx="48">
                  <c:v>75.906997967384712</c:v>
                </c:pt>
                <c:pt idx="49">
                  <c:v>76.742199989566146</c:v>
                </c:pt>
                <c:pt idx="50">
                  <c:v>76.141249140603179</c:v>
                </c:pt>
                <c:pt idx="51">
                  <c:v>76.950609683531894</c:v>
                </c:pt>
                <c:pt idx="52">
                  <c:v>76.792511422382205</c:v>
                </c:pt>
                <c:pt idx="53">
                  <c:v>77.446649786325281</c:v>
                </c:pt>
                <c:pt idx="54">
                  <c:v>77.996997606683351</c:v>
                </c:pt>
                <c:pt idx="55">
                  <c:v>78.970381843071053</c:v>
                </c:pt>
                <c:pt idx="56">
                  <c:v>79.083597005323995</c:v>
                </c:pt>
                <c:pt idx="57">
                  <c:v>79.315447989402998</c:v>
                </c:pt>
                <c:pt idx="58">
                  <c:v>78.977518143794555</c:v>
                </c:pt>
                <c:pt idx="59">
                  <c:v>78.716321274460199</c:v>
                </c:pt>
                <c:pt idx="60">
                  <c:v>79.541852402405098</c:v>
                </c:pt>
                <c:pt idx="61">
                  <c:v>80.593920001386891</c:v>
                </c:pt>
                <c:pt idx="62">
                  <c:v>80.304231972557702</c:v>
                </c:pt>
                <c:pt idx="63">
                  <c:v>80.903011480726988</c:v>
                </c:pt>
                <c:pt idx="64">
                  <c:v>81.006323415318732</c:v>
                </c:pt>
                <c:pt idx="65">
                  <c:v>81.367855601956805</c:v>
                </c:pt>
                <c:pt idx="66">
                  <c:v>82.363026901743723</c:v>
                </c:pt>
                <c:pt idx="67">
                  <c:v>83.451561512980874</c:v>
                </c:pt>
                <c:pt idx="68">
                  <c:v>84.694655207532549</c:v>
                </c:pt>
                <c:pt idx="69">
                  <c:v>84.145283531828568</c:v>
                </c:pt>
                <c:pt idx="70">
                  <c:v>84.625686214206027</c:v>
                </c:pt>
                <c:pt idx="71">
                  <c:v>84.010476911322812</c:v>
                </c:pt>
                <c:pt idx="72">
                  <c:v>85.615831558637112</c:v>
                </c:pt>
                <c:pt idx="73">
                  <c:v>86.754966847420661</c:v>
                </c:pt>
                <c:pt idx="74">
                  <c:v>86.702043300314941</c:v>
                </c:pt>
                <c:pt idx="75">
                  <c:v>88.179941810414505</c:v>
                </c:pt>
                <c:pt idx="76">
                  <c:v>88.487360920882381</c:v>
                </c:pt>
                <c:pt idx="77">
                  <c:v>88.865104492032515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Arkusz1!$B$1</c:f>
              <c:strCache>
                <c:ptCount val="1"/>
                <c:pt idx="0">
                  <c:v>Zasiłki chorobowe</c:v>
                </c:pt>
              </c:strCache>
            </c:strRef>
          </c:tx>
          <c:spPr>
            <a:ln>
              <a:solidFill>
                <a:srgbClr val="FFB34F"/>
              </a:solidFill>
            </a:ln>
          </c:spPr>
          <c:marker>
            <c:symbol val="none"/>
          </c:marker>
          <c:cat>
            <c:numRef>
              <c:f>Arkusz1!$A$2:$A$79</c:f>
              <c:numCache>
                <c:formatCode>[$-415]mmm\ yy;@</c:formatCode>
                <c:ptCount val="78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</c:numCache>
            </c:numRef>
          </c:cat>
          <c:val>
            <c:numRef>
              <c:f>Arkusz1!$B$2:$B$79</c:f>
              <c:numCache>
                <c:formatCode>#,##0.00</c:formatCode>
                <c:ptCount val="78"/>
                <c:pt idx="0">
                  <c:v>66.108879637988608</c:v>
                </c:pt>
                <c:pt idx="1">
                  <c:v>66.935309761594098</c:v>
                </c:pt>
                <c:pt idx="2">
                  <c:v>65.670762329962173</c:v>
                </c:pt>
                <c:pt idx="3">
                  <c:v>66.718984599350279</c:v>
                </c:pt>
                <c:pt idx="4">
                  <c:v>67.574020468468788</c:v>
                </c:pt>
                <c:pt idx="5">
                  <c:v>68.955543102759975</c:v>
                </c:pt>
                <c:pt idx="6">
                  <c:v>68.433271031249348</c:v>
                </c:pt>
                <c:pt idx="7">
                  <c:v>68.759630736725327</c:v>
                </c:pt>
                <c:pt idx="8">
                  <c:v>68.694202004654201</c:v>
                </c:pt>
                <c:pt idx="9">
                  <c:v>68.703121806736348</c:v>
                </c:pt>
                <c:pt idx="10">
                  <c:v>69.712488338062528</c:v>
                </c:pt>
                <c:pt idx="11">
                  <c:v>69.018014082655995</c:v>
                </c:pt>
                <c:pt idx="12">
                  <c:v>68.983563474617341</c:v>
                </c:pt>
                <c:pt idx="13">
                  <c:v>69.92080410143187</c:v>
                </c:pt>
                <c:pt idx="14">
                  <c:v>68.659808134266015</c:v>
                </c:pt>
                <c:pt idx="15">
                  <c:v>69.653254416034954</c:v>
                </c:pt>
                <c:pt idx="16">
                  <c:v>70.8086184914374</c:v>
                </c:pt>
                <c:pt idx="17">
                  <c:v>71.481758290594797</c:v>
                </c:pt>
                <c:pt idx="18">
                  <c:v>71.458114695977429</c:v>
                </c:pt>
                <c:pt idx="19">
                  <c:v>72.160133569581916</c:v>
                </c:pt>
                <c:pt idx="20">
                  <c:v>71.521026379645591</c:v>
                </c:pt>
                <c:pt idx="21">
                  <c:v>71.903271280194787</c:v>
                </c:pt>
                <c:pt idx="22">
                  <c:v>72.170119417945372</c:v>
                </c:pt>
                <c:pt idx="23">
                  <c:v>72.122113017460336</c:v>
                </c:pt>
                <c:pt idx="24">
                  <c:v>71.993711120207323</c:v>
                </c:pt>
                <c:pt idx="25">
                  <c:v>72.343656567849806</c:v>
                </c:pt>
                <c:pt idx="26">
                  <c:v>70.851162543303033</c:v>
                </c:pt>
                <c:pt idx="27">
                  <c:v>71.738237046186526</c:v>
                </c:pt>
                <c:pt idx="28">
                  <c:v>72.59720911167409</c:v>
                </c:pt>
                <c:pt idx="29">
                  <c:v>72.695495649025986</c:v>
                </c:pt>
                <c:pt idx="30">
                  <c:v>73.179884944514953</c:v>
                </c:pt>
                <c:pt idx="31">
                  <c:v>73.099827873800592</c:v>
                </c:pt>
                <c:pt idx="32">
                  <c:v>72.914630532286665</c:v>
                </c:pt>
                <c:pt idx="33">
                  <c:v>73.684094537772964</c:v>
                </c:pt>
                <c:pt idx="34">
                  <c:v>73.638690558020102</c:v>
                </c:pt>
                <c:pt idx="35">
                  <c:v>73.63608082180842</c:v>
                </c:pt>
                <c:pt idx="36">
                  <c:v>73.969071370353404</c:v>
                </c:pt>
                <c:pt idx="37">
                  <c:v>74.527995193349781</c:v>
                </c:pt>
                <c:pt idx="38">
                  <c:v>72.477036765824778</c:v>
                </c:pt>
                <c:pt idx="39">
                  <c:v>74.99013008769839</c:v>
                </c:pt>
                <c:pt idx="40">
                  <c:v>75.122656627154385</c:v>
                </c:pt>
                <c:pt idx="41">
                  <c:v>76.028243488179953</c:v>
                </c:pt>
                <c:pt idx="42">
                  <c:v>76.413089982139837</c:v>
                </c:pt>
                <c:pt idx="43">
                  <c:v>76.064694914477485</c:v>
                </c:pt>
                <c:pt idx="44">
                  <c:v>76.384740524050187</c:v>
                </c:pt>
                <c:pt idx="45">
                  <c:v>76.285156276552371</c:v>
                </c:pt>
                <c:pt idx="46">
                  <c:v>76.99470443476325</c:v>
                </c:pt>
                <c:pt idx="47">
                  <c:v>76.779954646419938</c:v>
                </c:pt>
                <c:pt idx="48">
                  <c:v>76.636523288988215</c:v>
                </c:pt>
                <c:pt idx="49">
                  <c:v>78.321832282876798</c:v>
                </c:pt>
                <c:pt idx="50">
                  <c:v>76.543496777741751</c:v>
                </c:pt>
                <c:pt idx="51">
                  <c:v>78.215303051748137</c:v>
                </c:pt>
                <c:pt idx="52">
                  <c:v>78.902269240209918</c:v>
                </c:pt>
                <c:pt idx="53">
                  <c:v>79.899712038991012</c:v>
                </c:pt>
                <c:pt idx="54">
                  <c:v>80.428613296167981</c:v>
                </c:pt>
                <c:pt idx="55">
                  <c:v>80.256323368694481</c:v>
                </c:pt>
                <c:pt idx="56">
                  <c:v>80.790477174852171</c:v>
                </c:pt>
                <c:pt idx="57">
                  <c:v>81.005666512325263</c:v>
                </c:pt>
                <c:pt idx="58">
                  <c:v>81.165242205237334</c:v>
                </c:pt>
                <c:pt idx="59">
                  <c:v>82.787762133790054</c:v>
                </c:pt>
                <c:pt idx="60">
                  <c:v>82.278310174986913</c:v>
                </c:pt>
                <c:pt idx="61">
                  <c:v>83.421168647202819</c:v>
                </c:pt>
                <c:pt idx="62">
                  <c:v>81.933481895134165</c:v>
                </c:pt>
                <c:pt idx="63">
                  <c:v>83.287562628928697</c:v>
                </c:pt>
                <c:pt idx="64">
                  <c:v>84.49483854700064</c:v>
                </c:pt>
                <c:pt idx="65">
                  <c:v>86.140603829584535</c:v>
                </c:pt>
                <c:pt idx="66">
                  <c:v>85.599893736354204</c:v>
                </c:pt>
                <c:pt idx="67">
                  <c:v>86.300320088152446</c:v>
                </c:pt>
                <c:pt idx="68">
                  <c:v>86.817269967912225</c:v>
                </c:pt>
                <c:pt idx="69">
                  <c:v>86.933690639605928</c:v>
                </c:pt>
                <c:pt idx="70">
                  <c:v>87.716904388682408</c:v>
                </c:pt>
                <c:pt idx="71">
                  <c:v>88.413639050746298</c:v>
                </c:pt>
                <c:pt idx="72">
                  <c:v>88.134784170931667</c:v>
                </c:pt>
                <c:pt idx="73">
                  <c:v>90.230643265853203</c:v>
                </c:pt>
                <c:pt idx="74">
                  <c:v>89.653042944237171</c:v>
                </c:pt>
                <c:pt idx="75">
                  <c:v>92.585062161844803</c:v>
                </c:pt>
                <c:pt idx="76">
                  <c:v>90.675597136184194</c:v>
                </c:pt>
                <c:pt idx="77">
                  <c:v>89.773476285934521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44948216"/>
        <c:axId val="647198992"/>
      </c:lineChart>
      <c:catAx>
        <c:axId val="644948216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[$-415]mmm\ yy;@" sourceLinked="1"/>
        <c:majorTickMark val="none"/>
        <c:minorTickMark val="none"/>
        <c:tickLblPos val="nextTo"/>
        <c:spPr>
          <a:ln>
            <a:noFill/>
          </a:ln>
        </c:spPr>
        <c:txPr>
          <a:bodyPr rot="-5400000" vert="horz"/>
          <a:lstStyle/>
          <a:p>
            <a:pPr>
              <a:defRPr sz="850" baseline="0"/>
            </a:pPr>
            <a:endParaRPr lang="pl-PL"/>
          </a:p>
        </c:txPr>
        <c:crossAx val="647198992"/>
        <c:crosses val="autoZero"/>
        <c:auto val="0"/>
        <c:lblAlgn val="ctr"/>
        <c:lblOffset val="100"/>
        <c:tickMarkSkip val="2"/>
        <c:noMultiLvlLbl val="0"/>
      </c:catAx>
      <c:valAx>
        <c:axId val="647198992"/>
        <c:scaling>
          <c:orientation val="minMax"/>
          <c:min val="65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dash"/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950"/>
            </a:pPr>
            <a:endParaRPr lang="pl-PL"/>
          </a:p>
        </c:txPr>
        <c:crossAx val="64494821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95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805269533615978E-2"/>
          <c:y val="5.8280943228553123E-2"/>
          <c:w val="0.89841695268860622"/>
          <c:h val="0.912886932440531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Stan FUS - koniec roku</c:v>
                </c:pt>
              </c:strCache>
            </c:strRef>
          </c:tx>
          <c:spPr>
            <a:solidFill>
              <a:srgbClr val="009999"/>
            </a:solidFill>
          </c:spPr>
          <c:invertIfNegative val="1"/>
          <c:dPt>
            <c:idx val="0"/>
            <c:invertIfNegative val="1"/>
            <c:bubble3D val="0"/>
            <c:spPr>
              <a:solidFill>
                <a:srgbClr val="00993F"/>
              </a:solidFill>
            </c:spPr>
          </c:dPt>
          <c:dPt>
            <c:idx val="1"/>
            <c:invertIfNegative val="1"/>
            <c:bubble3D val="0"/>
            <c:spPr>
              <a:solidFill>
                <a:srgbClr val="00993F"/>
              </a:solidFill>
            </c:spPr>
          </c:dPt>
          <c:dPt>
            <c:idx val="2"/>
            <c:invertIfNegative val="1"/>
            <c:bubble3D val="0"/>
          </c:dPt>
          <c:dPt>
            <c:idx val="3"/>
            <c:invertIfNegative val="1"/>
            <c:bubble3D val="0"/>
          </c:dPt>
          <c:dPt>
            <c:idx val="4"/>
            <c:invertIfNegative val="1"/>
            <c:bubble3D val="0"/>
          </c:dPt>
          <c:dPt>
            <c:idx val="5"/>
            <c:invertIfNegative val="1"/>
            <c:bubble3D val="0"/>
          </c:dPt>
          <c:dPt>
            <c:idx val="6"/>
            <c:invertIfNegative val="1"/>
            <c:bubble3D val="0"/>
          </c:dPt>
          <c:dPt>
            <c:idx val="7"/>
            <c:invertIfNegative val="1"/>
            <c:bubble3D val="0"/>
          </c:dPt>
          <c:dPt>
            <c:idx val="8"/>
            <c:invertIfNegative val="1"/>
            <c:bubble3D val="0"/>
          </c:dPt>
          <c:dPt>
            <c:idx val="9"/>
            <c:invertIfNegative val="1"/>
            <c:bubble3D val="0"/>
          </c:dPt>
          <c:dPt>
            <c:idx val="10"/>
            <c:invertIfNegative val="1"/>
            <c:bubble3D val="0"/>
          </c:dPt>
          <c:dPt>
            <c:idx val="11"/>
            <c:invertIfNegative val="1"/>
            <c:bubble3D val="0"/>
            <c:spPr>
              <a:solidFill>
                <a:srgbClr val="00993F"/>
              </a:solidFill>
            </c:spPr>
          </c:dPt>
          <c:dPt>
            <c:idx val="12"/>
            <c:invertIfNegative val="1"/>
            <c:bubble3D val="0"/>
            <c:spPr>
              <a:solidFill>
                <a:srgbClr val="00993F"/>
              </a:solidFill>
            </c:spPr>
          </c:dPt>
          <c:dPt>
            <c:idx val="13"/>
            <c:invertIfNegative val="1"/>
            <c:bubble3D val="0"/>
            <c:spPr>
              <a:solidFill>
                <a:srgbClr val="00993F"/>
              </a:solidFill>
            </c:spPr>
          </c:dPt>
          <c:cat>
            <c:numRef>
              <c:f>Arkusz1!$A$2:$A$15</c:f>
              <c:numCache>
                <c:formatCode>General</c:formatCod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numCache>
            </c:numRef>
          </c:cat>
          <c:val>
            <c:numRef>
              <c:f>Arkusz1!$B$2:$B$15</c:f>
              <c:numCache>
                <c:formatCode>#,##0</c:formatCode>
                <c:ptCount val="14"/>
                <c:pt idx="0">
                  <c:v>3594532</c:v>
                </c:pt>
                <c:pt idx="1">
                  <c:v>4791138.7806499898</c:v>
                </c:pt>
                <c:pt idx="2">
                  <c:v>-7553473.2193500102</c:v>
                </c:pt>
                <c:pt idx="3">
                  <c:v>-10917421.21935001</c:v>
                </c:pt>
                <c:pt idx="4">
                  <c:v>-16667513.21935001</c:v>
                </c:pt>
                <c:pt idx="5">
                  <c:v>-18984313.21935001</c:v>
                </c:pt>
                <c:pt idx="6">
                  <c:v>-31884619.21935001</c:v>
                </c:pt>
                <c:pt idx="7">
                  <c:v>-40321677.21935001</c:v>
                </c:pt>
                <c:pt idx="8">
                  <c:v>-45924319.157679975</c:v>
                </c:pt>
                <c:pt idx="9">
                  <c:v>-45321160.758370012</c:v>
                </c:pt>
                <c:pt idx="10">
                  <c:v>-2190717.758370012</c:v>
                </c:pt>
                <c:pt idx="11">
                  <c:v>4660464</c:v>
                </c:pt>
                <c:pt idx="12">
                  <c:v>4348950</c:v>
                </c:pt>
                <c:pt idx="13">
                  <c:v>13576255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CC00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647192328"/>
        <c:axId val="647199776"/>
      </c:barChart>
      <c:catAx>
        <c:axId val="647192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900"/>
            </a:pPr>
            <a:endParaRPr lang="pl-PL"/>
          </a:p>
        </c:txPr>
        <c:crossAx val="647199776"/>
        <c:crosses val="autoZero"/>
        <c:auto val="1"/>
        <c:lblAlgn val="ctr"/>
        <c:lblOffset val="100"/>
        <c:noMultiLvlLbl val="0"/>
      </c:catAx>
      <c:valAx>
        <c:axId val="64719977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dash"/>
            </a:ln>
          </c:spPr>
        </c:majorGridlines>
        <c:numFmt formatCode="#,##0.0" sourceLinked="0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900"/>
            </a:pPr>
            <a:endParaRPr lang="pl-PL"/>
          </a:p>
        </c:txPr>
        <c:crossAx val="647192328"/>
        <c:crosses val="autoZero"/>
        <c:crossBetween val="between"/>
        <c:dispUnits>
          <c:builtInUnit val="millions"/>
        </c:dispUnits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80678090914313E-2"/>
          <c:y val="0.12308698409343127"/>
          <c:w val="0.85253606812988914"/>
          <c:h val="0.77425076767364864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Arkusz1!$I$2</c:f>
              <c:strCache>
                <c:ptCount val="1"/>
                <c:pt idx="0">
                  <c:v>Q1</c:v>
                </c:pt>
              </c:strCache>
            </c:strRef>
          </c:tx>
          <c:spPr>
            <a:solidFill>
              <a:srgbClr val="00993F"/>
            </a:solidFill>
          </c:spPr>
          <c:invertIfNegative val="0"/>
          <c:dLbls>
            <c:delete val="1"/>
          </c:dLbls>
          <c:cat>
            <c:strRef>
              <c:f>Arkusz1!$J$1:$O$1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Arkusz1!$J$2:$O$2</c:f>
              <c:numCache>
                <c:formatCode>#,##0</c:formatCode>
                <c:ptCount val="6"/>
                <c:pt idx="0">
                  <c:v>36181069.562539995</c:v>
                </c:pt>
                <c:pt idx="1">
                  <c:v>38168919.502269983</c:v>
                </c:pt>
                <c:pt idx="2">
                  <c:v>41020330.980379999</c:v>
                </c:pt>
                <c:pt idx="3">
                  <c:v>44083577.536900006</c:v>
                </c:pt>
                <c:pt idx="4">
                  <c:v>48478431.473300003</c:v>
                </c:pt>
                <c:pt idx="5">
                  <c:v>52405791.594479993</c:v>
                </c:pt>
              </c:numCache>
            </c:numRef>
          </c:val>
        </c:ser>
        <c:ser>
          <c:idx val="0"/>
          <c:order val="1"/>
          <c:tx>
            <c:strRef>
              <c:f>Arkusz1!$I$3</c:f>
              <c:strCache>
                <c:ptCount val="1"/>
                <c:pt idx="0">
                  <c:v>Q2</c:v>
                </c:pt>
              </c:strCache>
            </c:strRef>
          </c:tx>
          <c:spPr>
            <a:solidFill>
              <a:srgbClr val="00416E"/>
            </a:solidFill>
          </c:spPr>
          <c:invertIfNegative val="0"/>
          <c:dLbls>
            <c:delete val="1"/>
          </c:dLbls>
          <c:cat>
            <c:strRef>
              <c:f>Arkusz1!$J$1:$O$1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Arkusz1!$J$3:$O$3</c:f>
              <c:numCache>
                <c:formatCode>#,##0</c:formatCode>
                <c:ptCount val="6"/>
                <c:pt idx="0">
                  <c:v>36441237.176239997</c:v>
                </c:pt>
                <c:pt idx="1">
                  <c:v>38525785.355860017</c:v>
                </c:pt>
                <c:pt idx="2">
                  <c:v>41830315.191099994</c:v>
                </c:pt>
                <c:pt idx="3">
                  <c:v>45374931.743569992</c:v>
                </c:pt>
                <c:pt idx="4">
                  <c:v>49741434.393390007</c:v>
                </c:pt>
                <c:pt idx="5">
                  <c:v>39528032.405520007</c:v>
                </c:pt>
              </c:numCache>
            </c:numRef>
          </c:val>
        </c:ser>
        <c:ser>
          <c:idx val="1"/>
          <c:order val="2"/>
          <c:tx>
            <c:strRef>
              <c:f>Arkusz1!$I$4</c:f>
              <c:strCache>
                <c:ptCount val="1"/>
                <c:pt idx="0">
                  <c:v>Q3</c:v>
                </c:pt>
              </c:strCache>
            </c:strRef>
          </c:tx>
          <c:spPr>
            <a:solidFill>
              <a:srgbClr val="FFB34F"/>
            </a:solidFill>
          </c:spPr>
          <c:invertIfNegative val="0"/>
          <c:dLbls>
            <c:delete val="1"/>
          </c:dLbls>
          <c:cat>
            <c:strRef>
              <c:f>Arkusz1!$J$1:$O$1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Arkusz1!$J$4:$O$4</c:f>
              <c:numCache>
                <c:formatCode>#,##0</c:formatCode>
                <c:ptCount val="6"/>
                <c:pt idx="0">
                  <c:v>35207665.676990002</c:v>
                </c:pt>
                <c:pt idx="1">
                  <c:v>37678462.715799995</c:v>
                </c:pt>
                <c:pt idx="2">
                  <c:v>40924200</c:v>
                </c:pt>
                <c:pt idx="3">
                  <c:v>44814700</c:v>
                </c:pt>
                <c:pt idx="4">
                  <c:v>48974286.133309983</c:v>
                </c:pt>
              </c:numCache>
            </c:numRef>
          </c:val>
        </c:ser>
        <c:ser>
          <c:idx val="2"/>
          <c:order val="3"/>
          <c:tx>
            <c:strRef>
              <c:f>Arkusz1!$I$5</c:f>
              <c:strCache>
                <c:ptCount val="1"/>
                <c:pt idx="0">
                  <c:v>Q4</c:v>
                </c:pt>
              </c:strCache>
            </c:strRef>
          </c:tx>
          <c:spPr>
            <a:solidFill>
              <a:srgbClr val="F05E5E"/>
            </a:solidFill>
          </c:spPr>
          <c:invertIfNegative val="0"/>
          <c:dLbls>
            <c:delete val="1"/>
          </c:dLbls>
          <c:cat>
            <c:strRef>
              <c:f>Arkusz1!$J$1:$O$1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Arkusz1!$J$5:$O$5</c:f>
              <c:numCache>
                <c:formatCode>#,##0</c:formatCode>
                <c:ptCount val="6"/>
                <c:pt idx="0">
                  <c:v>35265811.993259996</c:v>
                </c:pt>
                <c:pt idx="1">
                  <c:v>37464127.426070012</c:v>
                </c:pt>
                <c:pt idx="2">
                  <c:v>42773065.118959986</c:v>
                </c:pt>
                <c:pt idx="3">
                  <c:v>45661418.597980008</c:v>
                </c:pt>
                <c:pt idx="4">
                  <c:v>49753037.535410024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24160656"/>
        <c:axId val="524161048"/>
      </c:barChart>
      <c:catAx>
        <c:axId val="524160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900"/>
            </a:pPr>
            <a:endParaRPr lang="pl-PL"/>
          </a:p>
        </c:txPr>
        <c:crossAx val="524161048"/>
        <c:crosses val="autoZero"/>
        <c:auto val="1"/>
        <c:lblAlgn val="ctr"/>
        <c:lblOffset val="100"/>
        <c:noMultiLvlLbl val="0"/>
      </c:catAx>
      <c:valAx>
        <c:axId val="52416104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dash"/>
            </a:ln>
          </c:spPr>
        </c:majorGridlines>
        <c:numFmt formatCode="#,##0.0" sourceLinked="0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900"/>
            </a:pPr>
            <a:endParaRPr lang="pl-PL"/>
          </a:p>
        </c:txPr>
        <c:crossAx val="524160656"/>
        <c:crosses val="autoZero"/>
        <c:crossBetween val="between"/>
        <c:dispUnits>
          <c:builtInUnit val="millions"/>
        </c:dispUnits>
      </c:valAx>
    </c:plotArea>
    <c:legend>
      <c:legendPos val="r"/>
      <c:layout>
        <c:manualLayout>
          <c:xMode val="edge"/>
          <c:yMode val="edge"/>
          <c:x val="0.9198561871308375"/>
          <c:y val="0.11780102829612052"/>
          <c:w val="7.6600148693859615E-2"/>
          <c:h val="0.85786773585817111"/>
        </c:manualLayout>
      </c:layout>
      <c:overlay val="0"/>
      <c:txPr>
        <a:bodyPr/>
        <a:lstStyle/>
        <a:p>
          <a:pPr>
            <a:defRPr sz="95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3.7003734556100558E-2"/>
          <c:y val="0.11993988162712714"/>
          <c:w val="0.61066099170036181"/>
          <c:h val="0.60776997775213537"/>
        </c:manualLayout>
      </c:layout>
      <c:doughnutChart>
        <c:varyColors val="1"/>
        <c:ser>
          <c:idx val="0"/>
          <c:order val="0"/>
          <c:tx>
            <c:v>Przychody FUS</c:v>
          </c:tx>
          <c:dPt>
            <c:idx val="0"/>
            <c:bubble3D val="0"/>
            <c:spPr>
              <a:solidFill>
                <a:srgbClr val="F05E5E"/>
              </a:solidFill>
            </c:spPr>
          </c:dPt>
          <c:dPt>
            <c:idx val="1"/>
            <c:bubble3D val="0"/>
            <c:spPr>
              <a:solidFill>
                <a:srgbClr val="00993F"/>
              </a:solidFill>
            </c:spPr>
          </c:dPt>
          <c:dPt>
            <c:idx val="2"/>
            <c:bubble3D val="0"/>
            <c:spPr>
              <a:solidFill>
                <a:srgbClr val="FFB34F"/>
              </a:solidFill>
            </c:spPr>
          </c:dPt>
          <c:dPt>
            <c:idx val="3"/>
            <c:bubble3D val="0"/>
            <c:spPr>
              <a:solidFill>
                <a:srgbClr val="00416E"/>
              </a:solidFill>
            </c:spPr>
          </c:dPt>
          <c:dLbls>
            <c:dLbl>
              <c:idx val="0"/>
              <c:layout>
                <c:manualLayout>
                  <c:x val="6.3622936955512188E-2"/>
                  <c:y val="-6.973665799048338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4349142352671607"/>
                  <c:y val="2.1257197271399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5015790901807409E-2"/>
                  <c:y val="-5.94674061518227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5069673117666588E-2"/>
                  <c:y val="-7.747953421939476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805611126923793E-2"/>
                  <c:y val="-7.874281244356984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dochody!$A$5:$A$9</c:f>
              <c:strCache>
                <c:ptCount val="5"/>
                <c:pt idx="0">
                  <c:v>Dotacja z budżetu państwa</c:v>
                </c:pt>
                <c:pt idx="1">
                  <c:v>Składki</c:v>
                </c:pt>
                <c:pt idx="2">
                  <c:v>Wpłaty z OFE</c:v>
                </c:pt>
                <c:pt idx="3">
                  <c:v>Środki z Funduszu Przeciwdziałania COVID-19</c:v>
                </c:pt>
                <c:pt idx="4">
                  <c:v>Pozostałe</c:v>
                </c:pt>
              </c:strCache>
            </c:strRef>
          </c:cat>
          <c:val>
            <c:numRef>
              <c:f>dochody!$B$5:$B$9</c:f>
              <c:numCache>
                <c:formatCode>#,##0</c:formatCode>
                <c:ptCount val="5"/>
                <c:pt idx="0">
                  <c:v>20118693.472070001</c:v>
                </c:pt>
                <c:pt idx="1">
                  <c:v>106875832.65461999</c:v>
                </c:pt>
                <c:pt idx="2">
                  <c:v>2914460.6550599998</c:v>
                </c:pt>
                <c:pt idx="3">
                  <c:v>16600000</c:v>
                </c:pt>
                <c:pt idx="4">
                  <c:v>1085107.0525900051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359"/>
        <c:holeSize val="64"/>
      </c:doughnutChart>
    </c:plotArea>
    <c:legend>
      <c:legendPos val="r"/>
      <c:layout>
        <c:manualLayout>
          <c:xMode val="edge"/>
          <c:yMode val="edge"/>
          <c:x val="0.62062941051287501"/>
          <c:y val="0.10081779584548313"/>
          <c:w val="0.37925890615024471"/>
          <c:h val="0.71019526143181777"/>
        </c:manualLayout>
      </c:layout>
      <c:overlay val="0"/>
      <c:txPr>
        <a:bodyPr/>
        <a:lstStyle/>
        <a:p>
          <a:pPr>
            <a:defRPr sz="950">
              <a:latin typeface="+mn-lt"/>
            </a:defRPr>
          </a:pPr>
          <a:endParaRPr lang="pl-PL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+mn-lt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453390906781814E-2"/>
          <c:y val="3.2703749651872296E-2"/>
          <c:w val="0.89364338328676662"/>
          <c:h val="0.68278561240938129"/>
        </c:manualLayout>
      </c:layout>
      <c:areaChart>
        <c:grouping val="stacked"/>
        <c:varyColors val="0"/>
        <c:ser>
          <c:idx val="2"/>
          <c:order val="0"/>
          <c:tx>
            <c:strRef>
              <c:f>cudzoziemcy!$D$1</c:f>
              <c:strCache>
                <c:ptCount val="1"/>
                <c:pt idx="0">
                  <c:v>Pozostali</c:v>
                </c:pt>
              </c:strCache>
            </c:strRef>
          </c:tx>
          <c:spPr>
            <a:solidFill>
              <a:srgbClr val="F05E5E"/>
            </a:solidFill>
          </c:spPr>
          <c:cat>
            <c:strRef>
              <c:f>cudzoziemcy!$A$2:$A$35</c:f>
              <c:strCache>
                <c:ptCount val="34"/>
                <c:pt idx="0">
                  <c:v>I kw 2012</c:v>
                </c:pt>
                <c:pt idx="1">
                  <c:v>II kw 2012</c:v>
                </c:pt>
                <c:pt idx="2">
                  <c:v>III kw 2012</c:v>
                </c:pt>
                <c:pt idx="3">
                  <c:v>IV kw 2012</c:v>
                </c:pt>
                <c:pt idx="4">
                  <c:v>I kw 2013</c:v>
                </c:pt>
                <c:pt idx="5">
                  <c:v>II kw 2013</c:v>
                </c:pt>
                <c:pt idx="6">
                  <c:v>III kw 2013</c:v>
                </c:pt>
                <c:pt idx="7">
                  <c:v>IV kw 2013</c:v>
                </c:pt>
                <c:pt idx="8">
                  <c:v>I kw 2014</c:v>
                </c:pt>
                <c:pt idx="9">
                  <c:v>II kw 2014</c:v>
                </c:pt>
                <c:pt idx="10">
                  <c:v>III kw 2014</c:v>
                </c:pt>
                <c:pt idx="11">
                  <c:v>IV kw 2014</c:v>
                </c:pt>
                <c:pt idx="12">
                  <c:v>I kw 2015</c:v>
                </c:pt>
                <c:pt idx="13">
                  <c:v>II kw 2015</c:v>
                </c:pt>
                <c:pt idx="14">
                  <c:v>III kw 2015</c:v>
                </c:pt>
                <c:pt idx="15">
                  <c:v>IV kw 2015</c:v>
                </c:pt>
                <c:pt idx="16">
                  <c:v>I kw 2016</c:v>
                </c:pt>
                <c:pt idx="17">
                  <c:v>II kw 2016</c:v>
                </c:pt>
                <c:pt idx="18">
                  <c:v>III kw 2016</c:v>
                </c:pt>
                <c:pt idx="19">
                  <c:v>IV kw 2016</c:v>
                </c:pt>
                <c:pt idx="20">
                  <c:v>I kw 2017</c:v>
                </c:pt>
                <c:pt idx="21">
                  <c:v>II kw 2017</c:v>
                </c:pt>
                <c:pt idx="22">
                  <c:v>III kw 2017</c:v>
                </c:pt>
                <c:pt idx="23">
                  <c:v>IV kw 2017</c:v>
                </c:pt>
                <c:pt idx="24">
                  <c:v>I kw 2018</c:v>
                </c:pt>
                <c:pt idx="25">
                  <c:v>II kw 2018</c:v>
                </c:pt>
                <c:pt idx="26">
                  <c:v>III kw 2018</c:v>
                </c:pt>
                <c:pt idx="27">
                  <c:v>IV kw 2018</c:v>
                </c:pt>
                <c:pt idx="28">
                  <c:v>I kw 2019</c:v>
                </c:pt>
                <c:pt idx="29">
                  <c:v>II kw 2019</c:v>
                </c:pt>
                <c:pt idx="30">
                  <c:v>III kw 2019</c:v>
                </c:pt>
                <c:pt idx="31">
                  <c:v>IV kw 2019</c:v>
                </c:pt>
                <c:pt idx="32">
                  <c:v>I kw 2020</c:v>
                </c:pt>
                <c:pt idx="33">
                  <c:v>II kw 2020</c:v>
                </c:pt>
              </c:strCache>
            </c:strRef>
          </c:cat>
          <c:val>
            <c:numRef>
              <c:f>cudzoziemcy!$D$2:$D$35</c:f>
              <c:numCache>
                <c:formatCode>#,##0</c:formatCode>
                <c:ptCount val="34"/>
                <c:pt idx="0">
                  <c:v>60499</c:v>
                </c:pt>
                <c:pt idx="1">
                  <c:v>61651</c:v>
                </c:pt>
                <c:pt idx="2">
                  <c:v>62087</c:v>
                </c:pt>
                <c:pt idx="3">
                  <c:v>63299</c:v>
                </c:pt>
                <c:pt idx="4">
                  <c:v>64919</c:v>
                </c:pt>
                <c:pt idx="5">
                  <c:v>65866</c:v>
                </c:pt>
                <c:pt idx="6">
                  <c:v>66680</c:v>
                </c:pt>
                <c:pt idx="7">
                  <c:v>68094</c:v>
                </c:pt>
                <c:pt idx="8">
                  <c:v>70305</c:v>
                </c:pt>
                <c:pt idx="9">
                  <c:v>72240</c:v>
                </c:pt>
                <c:pt idx="10">
                  <c:v>73536</c:v>
                </c:pt>
                <c:pt idx="11">
                  <c:v>75199</c:v>
                </c:pt>
                <c:pt idx="12">
                  <c:v>77438</c:v>
                </c:pt>
                <c:pt idx="13">
                  <c:v>79538</c:v>
                </c:pt>
                <c:pt idx="14">
                  <c:v>80692</c:v>
                </c:pt>
                <c:pt idx="15">
                  <c:v>83038</c:v>
                </c:pt>
                <c:pt idx="16">
                  <c:v>85980</c:v>
                </c:pt>
                <c:pt idx="17">
                  <c:v>89959</c:v>
                </c:pt>
                <c:pt idx="18">
                  <c:v>93754</c:v>
                </c:pt>
                <c:pt idx="19">
                  <c:v>98770</c:v>
                </c:pt>
                <c:pt idx="20">
                  <c:v>102768</c:v>
                </c:pt>
                <c:pt idx="21">
                  <c:v>108242</c:v>
                </c:pt>
                <c:pt idx="22">
                  <c:v>115231</c:v>
                </c:pt>
                <c:pt idx="23">
                  <c:v>123781</c:v>
                </c:pt>
                <c:pt idx="24">
                  <c:v>130959</c:v>
                </c:pt>
                <c:pt idx="25">
                  <c:v>137936</c:v>
                </c:pt>
                <c:pt idx="26">
                  <c:v>143446</c:v>
                </c:pt>
                <c:pt idx="27">
                  <c:v>149001</c:v>
                </c:pt>
                <c:pt idx="28">
                  <c:v>155155</c:v>
                </c:pt>
                <c:pt idx="29">
                  <c:v>161076</c:v>
                </c:pt>
                <c:pt idx="30">
                  <c:v>166001</c:v>
                </c:pt>
                <c:pt idx="31">
                  <c:v>172393</c:v>
                </c:pt>
                <c:pt idx="32">
                  <c:v>177500</c:v>
                </c:pt>
                <c:pt idx="33">
                  <c:v>171936</c:v>
                </c:pt>
              </c:numCache>
            </c:numRef>
          </c:val>
        </c:ser>
        <c:ser>
          <c:idx val="1"/>
          <c:order val="1"/>
          <c:tx>
            <c:strRef>
              <c:f>cudzoziemcy!$C$1</c:f>
              <c:strCache>
                <c:ptCount val="1"/>
                <c:pt idx="0">
                  <c:v>Obywatele Ukrainy</c:v>
                </c:pt>
              </c:strCache>
            </c:strRef>
          </c:tx>
          <c:spPr>
            <a:solidFill>
              <a:srgbClr val="00993F"/>
            </a:solidFill>
          </c:spPr>
          <c:cat>
            <c:strRef>
              <c:f>cudzoziemcy!$A$2:$A$35</c:f>
              <c:strCache>
                <c:ptCount val="34"/>
                <c:pt idx="0">
                  <c:v>I kw 2012</c:v>
                </c:pt>
                <c:pt idx="1">
                  <c:v>II kw 2012</c:v>
                </c:pt>
                <c:pt idx="2">
                  <c:v>III kw 2012</c:v>
                </c:pt>
                <c:pt idx="3">
                  <c:v>IV kw 2012</c:v>
                </c:pt>
                <c:pt idx="4">
                  <c:v>I kw 2013</c:v>
                </c:pt>
                <c:pt idx="5">
                  <c:v>II kw 2013</c:v>
                </c:pt>
                <c:pt idx="6">
                  <c:v>III kw 2013</c:v>
                </c:pt>
                <c:pt idx="7">
                  <c:v>IV kw 2013</c:v>
                </c:pt>
                <c:pt idx="8">
                  <c:v>I kw 2014</c:v>
                </c:pt>
                <c:pt idx="9">
                  <c:v>II kw 2014</c:v>
                </c:pt>
                <c:pt idx="10">
                  <c:v>III kw 2014</c:v>
                </c:pt>
                <c:pt idx="11">
                  <c:v>IV kw 2014</c:v>
                </c:pt>
                <c:pt idx="12">
                  <c:v>I kw 2015</c:v>
                </c:pt>
                <c:pt idx="13">
                  <c:v>II kw 2015</c:v>
                </c:pt>
                <c:pt idx="14">
                  <c:v>III kw 2015</c:v>
                </c:pt>
                <c:pt idx="15">
                  <c:v>IV kw 2015</c:v>
                </c:pt>
                <c:pt idx="16">
                  <c:v>I kw 2016</c:v>
                </c:pt>
                <c:pt idx="17">
                  <c:v>II kw 2016</c:v>
                </c:pt>
                <c:pt idx="18">
                  <c:v>III kw 2016</c:v>
                </c:pt>
                <c:pt idx="19">
                  <c:v>IV kw 2016</c:v>
                </c:pt>
                <c:pt idx="20">
                  <c:v>I kw 2017</c:v>
                </c:pt>
                <c:pt idx="21">
                  <c:v>II kw 2017</c:v>
                </c:pt>
                <c:pt idx="22">
                  <c:v>III kw 2017</c:v>
                </c:pt>
                <c:pt idx="23">
                  <c:v>IV kw 2017</c:v>
                </c:pt>
                <c:pt idx="24">
                  <c:v>I kw 2018</c:v>
                </c:pt>
                <c:pt idx="25">
                  <c:v>II kw 2018</c:v>
                </c:pt>
                <c:pt idx="26">
                  <c:v>III kw 2018</c:v>
                </c:pt>
                <c:pt idx="27">
                  <c:v>IV kw 2018</c:v>
                </c:pt>
                <c:pt idx="28">
                  <c:v>I kw 2019</c:v>
                </c:pt>
                <c:pt idx="29">
                  <c:v>II kw 2019</c:v>
                </c:pt>
                <c:pt idx="30">
                  <c:v>III kw 2019</c:v>
                </c:pt>
                <c:pt idx="31">
                  <c:v>IV kw 2019</c:v>
                </c:pt>
                <c:pt idx="32">
                  <c:v>I kw 2020</c:v>
                </c:pt>
                <c:pt idx="33">
                  <c:v>II kw 2020</c:v>
                </c:pt>
              </c:strCache>
            </c:strRef>
          </c:cat>
          <c:val>
            <c:numRef>
              <c:f>cudzoziemcy!$C$2:$C$35</c:f>
              <c:numCache>
                <c:formatCode>#,##0</c:formatCode>
                <c:ptCount val="34"/>
                <c:pt idx="0">
                  <c:v>27012</c:v>
                </c:pt>
                <c:pt idx="1">
                  <c:v>29745</c:v>
                </c:pt>
                <c:pt idx="2">
                  <c:v>30699</c:v>
                </c:pt>
                <c:pt idx="3">
                  <c:v>29713</c:v>
                </c:pt>
                <c:pt idx="4">
                  <c:v>29854</c:v>
                </c:pt>
                <c:pt idx="5">
                  <c:v>32007</c:v>
                </c:pt>
                <c:pt idx="6">
                  <c:v>33112</c:v>
                </c:pt>
                <c:pt idx="7">
                  <c:v>32989</c:v>
                </c:pt>
                <c:pt idx="8">
                  <c:v>35494</c:v>
                </c:pt>
                <c:pt idx="9">
                  <c:v>40232</c:v>
                </c:pt>
                <c:pt idx="10">
                  <c:v>45634</c:v>
                </c:pt>
                <c:pt idx="11">
                  <c:v>49150</c:v>
                </c:pt>
                <c:pt idx="12">
                  <c:v>59840</c:v>
                </c:pt>
                <c:pt idx="13">
                  <c:v>75597</c:v>
                </c:pt>
                <c:pt idx="14">
                  <c:v>90891</c:v>
                </c:pt>
                <c:pt idx="15">
                  <c:v>101150</c:v>
                </c:pt>
                <c:pt idx="16">
                  <c:v>119329</c:v>
                </c:pt>
                <c:pt idx="17">
                  <c:v>147320</c:v>
                </c:pt>
                <c:pt idx="18">
                  <c:v>172721</c:v>
                </c:pt>
                <c:pt idx="19">
                  <c:v>194418</c:v>
                </c:pt>
                <c:pt idx="20">
                  <c:v>227503</c:v>
                </c:pt>
                <c:pt idx="21">
                  <c:v>270219</c:v>
                </c:pt>
                <c:pt idx="22">
                  <c:v>307761</c:v>
                </c:pt>
                <c:pt idx="23">
                  <c:v>316474</c:v>
                </c:pt>
                <c:pt idx="24">
                  <c:v>345215</c:v>
                </c:pt>
                <c:pt idx="25">
                  <c:v>403239</c:v>
                </c:pt>
                <c:pt idx="26">
                  <c:v>425670</c:v>
                </c:pt>
                <c:pt idx="27">
                  <c:v>420723</c:v>
                </c:pt>
                <c:pt idx="28">
                  <c:v>454564</c:v>
                </c:pt>
                <c:pt idx="29">
                  <c:v>483266</c:v>
                </c:pt>
                <c:pt idx="30">
                  <c:v>499601</c:v>
                </c:pt>
                <c:pt idx="31">
                  <c:v>479113</c:v>
                </c:pt>
                <c:pt idx="32">
                  <c:v>484753</c:v>
                </c:pt>
                <c:pt idx="33">
                  <c:v>433497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155688"/>
        <c:axId val="76154120"/>
      </c:areaChart>
      <c:catAx>
        <c:axId val="76155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50"/>
            </a:pPr>
            <a:endParaRPr lang="pl-PL"/>
          </a:p>
        </c:txPr>
        <c:crossAx val="76154120"/>
        <c:crosses val="autoZero"/>
        <c:auto val="1"/>
        <c:lblAlgn val="ctr"/>
        <c:lblOffset val="100"/>
        <c:noMultiLvlLbl val="0"/>
      </c:catAx>
      <c:valAx>
        <c:axId val="7615412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dash"/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crossAx val="7615568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0139412412158159"/>
          <c:y val="4.4494940544007565E-2"/>
          <c:w val="0.41830872450898798"/>
          <c:h val="0.10230010882785993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3.2732091036797827E-2"/>
          <c:y val="8.5979241888125862E-2"/>
          <c:w val="0.6118949440530459"/>
          <c:h val="0.78487790292036275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993F"/>
              </a:solidFill>
            </c:spPr>
          </c:dPt>
          <c:dPt>
            <c:idx val="1"/>
            <c:bubble3D val="0"/>
            <c:spPr>
              <a:solidFill>
                <a:srgbClr val="F05E5E"/>
              </a:solidFill>
            </c:spPr>
          </c:dPt>
          <c:dPt>
            <c:idx val="2"/>
            <c:bubble3D val="0"/>
            <c:spPr>
              <a:solidFill>
                <a:srgbClr val="FFB34F"/>
              </a:solidFill>
            </c:spPr>
          </c:dPt>
          <c:dPt>
            <c:idx val="3"/>
            <c:bubble3D val="0"/>
            <c:spPr>
              <a:solidFill>
                <a:srgbClr val="00416E"/>
              </a:solidFill>
            </c:spPr>
          </c:dPt>
          <c:dLbls>
            <c:dLbl>
              <c:idx val="0"/>
              <c:layout>
                <c:manualLayout>
                  <c:x val="-0.32456721198489347"/>
                  <c:y val="9.937536256004186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3507482478939776E-2"/>
                  <c:y val="-8.49302008787060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596300229351916E-2"/>
                  <c:y val="-9.35541995395788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331199061936962E-2"/>
                  <c:y val="-0.1172226962826712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dochody!$A$5:$A$8</c:f>
              <c:strCache>
                <c:ptCount val="4"/>
                <c:pt idx="0">
                  <c:v>Emerytury i renty</c:v>
                </c:pt>
                <c:pt idx="1">
                  <c:v>Pozostałe świadczenia</c:v>
                </c:pt>
                <c:pt idx="2">
                  <c:v>Odpis na działalność ZUS</c:v>
                </c:pt>
                <c:pt idx="3">
                  <c:v>Pozostałe koszty</c:v>
                </c:pt>
              </c:strCache>
            </c:strRef>
          </c:cat>
          <c:val>
            <c:numRef>
              <c:f>dochody!$B$5:$B$8</c:f>
              <c:numCache>
                <c:formatCode>#,##0</c:formatCode>
                <c:ptCount val="4"/>
                <c:pt idx="0">
                  <c:v>112830191.77353999</c:v>
                </c:pt>
                <c:pt idx="1">
                  <c:v>15325525.237910001</c:v>
                </c:pt>
                <c:pt idx="2">
                  <c:v>1932749.4999599999</c:v>
                </c:pt>
                <c:pt idx="3">
                  <c:v>8137522.6824800149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359"/>
        <c:holeSize val="64"/>
      </c:doughnutChart>
    </c:plotArea>
    <c:legend>
      <c:legendPos val="r"/>
      <c:layout>
        <c:manualLayout>
          <c:xMode val="edge"/>
          <c:yMode val="edge"/>
          <c:x val="0.65350877192982459"/>
          <c:y val="0.17417012746824367"/>
          <c:w val="0.34649122807017546"/>
          <c:h val="0.65165930208091072"/>
        </c:manualLayout>
      </c:layout>
      <c:overlay val="0"/>
      <c:txPr>
        <a:bodyPr/>
        <a:lstStyle/>
        <a:p>
          <a:pPr>
            <a:defRPr sz="950">
              <a:latin typeface="+mn-lt"/>
            </a:defRPr>
          </a:pPr>
          <a:endParaRPr lang="pl-PL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+mn-lt"/>
        </a:defRPr>
      </a:pPr>
      <a:endParaRPr lang="pl-PL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70586321337933E-2"/>
          <c:y val="3.6817614992696049E-2"/>
          <c:w val="0.82176161037721529"/>
          <c:h val="0.7120278817606816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993F"/>
            </a:solidFill>
            <a:ln>
              <a:solidFill>
                <a:schemeClr val="bg1">
                  <a:lumMod val="75000"/>
                </a:schemeClr>
              </a:solidFill>
            </a:ln>
          </c:spPr>
          <c:invertIfNegative val="0"/>
          <c:cat>
            <c:strRef>
              <c:f>Arkusz1!$A$2:$A$13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Arkusz1!$B$2:$B$13</c:f>
              <c:numCache>
                <c:formatCode>#,##0</c:formatCode>
                <c:ptCount val="12"/>
                <c:pt idx="0">
                  <c:v>17024694</c:v>
                </c:pt>
                <c:pt idx="1">
                  <c:v>34071497</c:v>
                </c:pt>
                <c:pt idx="2">
                  <c:v>52103366</c:v>
                </c:pt>
                <c:pt idx="3">
                  <c:v>69817792</c:v>
                </c:pt>
                <c:pt idx="4">
                  <c:v>96260935</c:v>
                </c:pt>
                <c:pt idx="5">
                  <c:v>114349358</c:v>
                </c:pt>
                <c:pt idx="6">
                  <c:v>132070340</c:v>
                </c:pt>
                <c:pt idx="7">
                  <c:v>150054761</c:v>
                </c:pt>
                <c:pt idx="8">
                  <c:v>168411867</c:v>
                </c:pt>
                <c:pt idx="9">
                  <c:v>186475524</c:v>
                </c:pt>
                <c:pt idx="10">
                  <c:v>204558712</c:v>
                </c:pt>
                <c:pt idx="11">
                  <c:v>214246353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overlap val="100"/>
        <c:axId val="76157648"/>
        <c:axId val="520979920"/>
      </c:barChart>
      <c:barChart>
        <c:barDir val="col"/>
        <c:grouping val="stacked"/>
        <c:varyColors val="0"/>
        <c:ser>
          <c:idx val="1"/>
          <c:order val="1"/>
          <c:tx>
            <c:strRef>
              <c:f>Arkusz1!$C$1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05E5E"/>
            </a:solidFill>
            <a:ln>
              <a:noFill/>
            </a:ln>
          </c:spPr>
          <c:invertIfNegative val="0"/>
          <c:cat>
            <c:strRef>
              <c:f>Arkusz1!$A$2:$A$13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Arkusz1!$C$2:$C$13</c:f>
              <c:numCache>
                <c:formatCode>#,##0</c:formatCode>
                <c:ptCount val="12"/>
                <c:pt idx="0">
                  <c:v>18151673</c:v>
                </c:pt>
                <c:pt idx="1">
                  <c:v>36326851</c:v>
                </c:pt>
                <c:pt idx="2">
                  <c:v>55610778.48471</c:v>
                </c:pt>
                <c:pt idx="3">
                  <c:v>74569846.012759998</c:v>
                </c:pt>
                <c:pt idx="4">
                  <c:v>93526341.466260001</c:v>
                </c:pt>
                <c:pt idx="5">
                  <c:v>112830191.77354001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0979528"/>
        <c:axId val="520976392"/>
      </c:barChart>
      <c:lineChart>
        <c:grouping val="standard"/>
        <c:varyColors val="0"/>
        <c:ser>
          <c:idx val="2"/>
          <c:order val="2"/>
          <c:tx>
            <c:strRef>
              <c:f>Arkusz1!$D$1</c:f>
              <c:strCache>
                <c:ptCount val="1"/>
                <c:pt idx="0">
                  <c:v>PLAN 2020</c:v>
                </c:pt>
              </c:strCache>
            </c:strRef>
          </c:tx>
          <c:spPr>
            <a:ln>
              <a:noFill/>
            </a:ln>
          </c:spPr>
          <c:marker>
            <c:symbol val="picture"/>
            <c:spPr>
              <a:blipFill>
                <a:blip xmlns:r="http://schemas.openxmlformats.org/officeDocument/2006/relationships" r:embed="rId1"/>
                <a:stretch>
                  <a:fillRect/>
                </a:stretch>
              </a:blipFill>
              <a:ln>
                <a:solidFill>
                  <a:srgbClr val="00416E"/>
                </a:solidFill>
              </a:ln>
            </c:spPr>
          </c:marker>
          <c:cat>
            <c:strRef>
              <c:f>Arkusz1!$A$2:$A$13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Arkusz1!$D$2:$D$13</c:f>
              <c:numCache>
                <c:formatCode>#,##0</c:formatCode>
                <c:ptCount val="12"/>
                <c:pt idx="0">
                  <c:v>18218547.709836565</c:v>
                </c:pt>
                <c:pt idx="1">
                  <c:v>36463268.447349116</c:v>
                </c:pt>
                <c:pt idx="2">
                  <c:v>55445534.733148158</c:v>
                </c:pt>
                <c:pt idx="3">
                  <c:v>74476392.690794334</c:v>
                </c:pt>
                <c:pt idx="4">
                  <c:v>93544540.888032421</c:v>
                </c:pt>
                <c:pt idx="5">
                  <c:v>112602263.52437076</c:v>
                </c:pt>
                <c:pt idx="6">
                  <c:v>131691226.19416302</c:v>
                </c:pt>
                <c:pt idx="7">
                  <c:v>150834566.80579239</c:v>
                </c:pt>
                <c:pt idx="8">
                  <c:v>170017602.78463066</c:v>
                </c:pt>
                <c:pt idx="9">
                  <c:v>189269296.49430484</c:v>
                </c:pt>
                <c:pt idx="10">
                  <c:v>208552600.92461339</c:v>
                </c:pt>
                <c:pt idx="11">
                  <c:v>227895407.00000003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157648"/>
        <c:axId val="520979920"/>
      </c:lineChart>
      <c:catAx>
        <c:axId val="76157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900"/>
            </a:pPr>
            <a:endParaRPr lang="pl-PL"/>
          </a:p>
        </c:txPr>
        <c:crossAx val="520979920"/>
        <c:crosses val="autoZero"/>
        <c:auto val="1"/>
        <c:lblAlgn val="ctr"/>
        <c:lblOffset val="100"/>
        <c:noMultiLvlLbl val="0"/>
      </c:catAx>
      <c:valAx>
        <c:axId val="520979920"/>
        <c:scaling>
          <c:orientation val="minMax"/>
          <c:max val="229999999.99999997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dash"/>
            </a:ln>
          </c:spPr>
        </c:majorGridlines>
        <c:numFmt formatCode="#,##0.0" sourceLinked="0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1000"/>
            </a:pPr>
            <a:endParaRPr lang="pl-PL"/>
          </a:p>
        </c:txPr>
        <c:crossAx val="76157648"/>
        <c:crosses val="autoZero"/>
        <c:crossBetween val="between"/>
        <c:dispUnits>
          <c:builtInUnit val="millions"/>
        </c:dispUnits>
      </c:valAx>
      <c:valAx>
        <c:axId val="520976392"/>
        <c:scaling>
          <c:orientation val="minMax"/>
          <c:max val="30000000"/>
        </c:scaling>
        <c:delete val="1"/>
        <c:axPos val="r"/>
        <c:numFmt formatCode="#,##0" sourceLinked="1"/>
        <c:majorTickMark val="out"/>
        <c:minorTickMark val="none"/>
        <c:tickLblPos val="nextTo"/>
        <c:crossAx val="520979528"/>
        <c:crosses val="max"/>
        <c:crossBetween val="between"/>
      </c:valAx>
      <c:catAx>
        <c:axId val="5209795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2097639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90478091280256634"/>
          <c:y val="0.25744281964754406"/>
          <c:w val="8.1330198308544766E-2"/>
          <c:h val="0.36954570152415156"/>
        </c:manualLayout>
      </c:layout>
      <c:overlay val="0"/>
      <c:txPr>
        <a:bodyPr/>
        <a:lstStyle/>
        <a:p>
          <a:pPr>
            <a:defRPr sz="95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5028560064522539E-2"/>
          <c:y val="4.7972715985352132E-2"/>
          <c:w val="0.91625283167010108"/>
          <c:h val="0.67596586354849353"/>
        </c:manualLayout>
      </c:layout>
      <c:lineChart>
        <c:grouping val="standard"/>
        <c:varyColors val="0"/>
        <c:ser>
          <c:idx val="0"/>
          <c:order val="0"/>
          <c:spPr>
            <a:ln w="28575" cmpd="sng">
              <a:solidFill>
                <a:srgbClr val="F05E5E"/>
              </a:solidFill>
            </a:ln>
            <a:effectLst/>
          </c:spPr>
          <c:marker>
            <c:symbol val="none"/>
          </c:marker>
          <c:cat>
            <c:numRef>
              <c:f>Arkusz1!$A$1:$A$90</c:f>
              <c:numCache>
                <c:formatCode>[$-415]mmm\ yy;@</c:formatCode>
                <c:ptCount val="90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  <c:pt idx="25">
                  <c:v>42036</c:v>
                </c:pt>
                <c:pt idx="26">
                  <c:v>42064</c:v>
                </c:pt>
                <c:pt idx="27">
                  <c:v>42095</c:v>
                </c:pt>
                <c:pt idx="28">
                  <c:v>42125</c:v>
                </c:pt>
                <c:pt idx="29">
                  <c:v>42156</c:v>
                </c:pt>
                <c:pt idx="30">
                  <c:v>42186</c:v>
                </c:pt>
                <c:pt idx="31">
                  <c:v>42217</c:v>
                </c:pt>
                <c:pt idx="32">
                  <c:v>42248</c:v>
                </c:pt>
                <c:pt idx="33">
                  <c:v>42278</c:v>
                </c:pt>
                <c:pt idx="34">
                  <c:v>42309</c:v>
                </c:pt>
                <c:pt idx="35">
                  <c:v>42339</c:v>
                </c:pt>
                <c:pt idx="36">
                  <c:v>42370</c:v>
                </c:pt>
                <c:pt idx="37">
                  <c:v>42401</c:v>
                </c:pt>
                <c:pt idx="38">
                  <c:v>42430</c:v>
                </c:pt>
                <c:pt idx="39">
                  <c:v>42461</c:v>
                </c:pt>
                <c:pt idx="40">
                  <c:v>42491</c:v>
                </c:pt>
                <c:pt idx="41">
                  <c:v>42522</c:v>
                </c:pt>
                <c:pt idx="42">
                  <c:v>42552</c:v>
                </c:pt>
                <c:pt idx="43">
                  <c:v>42583</c:v>
                </c:pt>
                <c:pt idx="44">
                  <c:v>42614</c:v>
                </c:pt>
                <c:pt idx="45">
                  <c:v>42644</c:v>
                </c:pt>
                <c:pt idx="46">
                  <c:v>42675</c:v>
                </c:pt>
                <c:pt idx="47">
                  <c:v>42705</c:v>
                </c:pt>
                <c:pt idx="48">
                  <c:v>42736</c:v>
                </c:pt>
                <c:pt idx="49">
                  <c:v>42767</c:v>
                </c:pt>
                <c:pt idx="50">
                  <c:v>42795</c:v>
                </c:pt>
                <c:pt idx="51">
                  <c:v>42826</c:v>
                </c:pt>
                <c:pt idx="52">
                  <c:v>42856</c:v>
                </c:pt>
                <c:pt idx="53">
                  <c:v>42887</c:v>
                </c:pt>
                <c:pt idx="54">
                  <c:v>42917</c:v>
                </c:pt>
                <c:pt idx="55">
                  <c:v>42948</c:v>
                </c:pt>
                <c:pt idx="56">
                  <c:v>42979</c:v>
                </c:pt>
                <c:pt idx="57">
                  <c:v>43009</c:v>
                </c:pt>
                <c:pt idx="58">
                  <c:v>43040</c:v>
                </c:pt>
                <c:pt idx="59">
                  <c:v>43070</c:v>
                </c:pt>
                <c:pt idx="60">
                  <c:v>43101</c:v>
                </c:pt>
                <c:pt idx="61">
                  <c:v>43132</c:v>
                </c:pt>
                <c:pt idx="62">
                  <c:v>43160</c:v>
                </c:pt>
                <c:pt idx="63">
                  <c:v>43191</c:v>
                </c:pt>
                <c:pt idx="64">
                  <c:v>43221</c:v>
                </c:pt>
                <c:pt idx="65">
                  <c:v>43252</c:v>
                </c:pt>
                <c:pt idx="66">
                  <c:v>43282</c:v>
                </c:pt>
                <c:pt idx="67">
                  <c:v>43313</c:v>
                </c:pt>
                <c:pt idx="68">
                  <c:v>43344</c:v>
                </c:pt>
                <c:pt idx="69">
                  <c:v>43374</c:v>
                </c:pt>
                <c:pt idx="70">
                  <c:v>43405</c:v>
                </c:pt>
                <c:pt idx="71">
                  <c:v>43435</c:v>
                </c:pt>
                <c:pt idx="72">
                  <c:v>43466</c:v>
                </c:pt>
                <c:pt idx="73">
                  <c:v>43497</c:v>
                </c:pt>
                <c:pt idx="74">
                  <c:v>43525</c:v>
                </c:pt>
                <c:pt idx="75">
                  <c:v>43556</c:v>
                </c:pt>
                <c:pt idx="76">
                  <c:v>43586</c:v>
                </c:pt>
                <c:pt idx="77">
                  <c:v>43617</c:v>
                </c:pt>
                <c:pt idx="78">
                  <c:v>43647</c:v>
                </c:pt>
                <c:pt idx="79">
                  <c:v>43678</c:v>
                </c:pt>
                <c:pt idx="80">
                  <c:v>43709</c:v>
                </c:pt>
                <c:pt idx="81" formatCode="mmm\-yy">
                  <c:v>43739</c:v>
                </c:pt>
                <c:pt idx="82" formatCode="mmm\-yy">
                  <c:v>43770</c:v>
                </c:pt>
                <c:pt idx="83" formatCode="mmm\-yy">
                  <c:v>43800</c:v>
                </c:pt>
                <c:pt idx="84" formatCode="mmm\-yy">
                  <c:v>43831</c:v>
                </c:pt>
                <c:pt idx="85" formatCode="mmm\-yy">
                  <c:v>43862</c:v>
                </c:pt>
                <c:pt idx="86" formatCode="mmm\-yy">
                  <c:v>43891</c:v>
                </c:pt>
                <c:pt idx="87" formatCode="mmm\-yy">
                  <c:v>43922</c:v>
                </c:pt>
                <c:pt idx="88" formatCode="mmm\-yy">
                  <c:v>43952</c:v>
                </c:pt>
                <c:pt idx="89" formatCode="mmm\-yy">
                  <c:v>43983</c:v>
                </c:pt>
              </c:numCache>
            </c:numRef>
          </c:cat>
          <c:val>
            <c:numRef>
              <c:f>Arkusz1!$B$1:$B$90</c:f>
              <c:numCache>
                <c:formatCode>0.00</c:formatCode>
                <c:ptCount val="90"/>
                <c:pt idx="0">
                  <c:v>4967.1849999999995</c:v>
                </c:pt>
                <c:pt idx="1">
                  <c:v>4974.5479999999998</c:v>
                </c:pt>
                <c:pt idx="2">
                  <c:v>4970.1949999999997</c:v>
                </c:pt>
                <c:pt idx="3">
                  <c:v>4969.8269999999993</c:v>
                </c:pt>
                <c:pt idx="4">
                  <c:v>4968.8360000000002</c:v>
                </c:pt>
                <c:pt idx="5">
                  <c:v>4964.616</c:v>
                </c:pt>
                <c:pt idx="6">
                  <c:v>4961.1429999999991</c:v>
                </c:pt>
                <c:pt idx="7">
                  <c:v>4960.2029999999995</c:v>
                </c:pt>
                <c:pt idx="8">
                  <c:v>4958.9949999999999</c:v>
                </c:pt>
                <c:pt idx="9">
                  <c:v>4957.3450000000003</c:v>
                </c:pt>
                <c:pt idx="10">
                  <c:v>4955.9260000000004</c:v>
                </c:pt>
                <c:pt idx="11">
                  <c:v>4954.0230000000001</c:v>
                </c:pt>
                <c:pt idx="12">
                  <c:v>4954.6279999999997</c:v>
                </c:pt>
                <c:pt idx="13">
                  <c:v>4949.8310000000001</c:v>
                </c:pt>
                <c:pt idx="14">
                  <c:v>4943.8719999999994</c:v>
                </c:pt>
                <c:pt idx="15">
                  <c:v>4940.9259999999995</c:v>
                </c:pt>
                <c:pt idx="16">
                  <c:v>4940.8609999999999</c:v>
                </c:pt>
                <c:pt idx="17">
                  <c:v>4936.6319999999996</c:v>
                </c:pt>
                <c:pt idx="18">
                  <c:v>4937.3</c:v>
                </c:pt>
                <c:pt idx="19">
                  <c:v>4947.7629999999999</c:v>
                </c:pt>
                <c:pt idx="20">
                  <c:v>4956.5919999999996</c:v>
                </c:pt>
                <c:pt idx="21">
                  <c:v>4966.259</c:v>
                </c:pt>
                <c:pt idx="22">
                  <c:v>4973.5779999999995</c:v>
                </c:pt>
                <c:pt idx="23">
                  <c:v>4980.2969999999996</c:v>
                </c:pt>
                <c:pt idx="24">
                  <c:v>4992.63</c:v>
                </c:pt>
                <c:pt idx="25">
                  <c:v>4998.3379999999997</c:v>
                </c:pt>
                <c:pt idx="26">
                  <c:v>4998.3019999999997</c:v>
                </c:pt>
                <c:pt idx="27">
                  <c:v>5008.59</c:v>
                </c:pt>
                <c:pt idx="28">
                  <c:v>5019.5750000000007</c:v>
                </c:pt>
                <c:pt idx="29">
                  <c:v>5024.0910000000003</c:v>
                </c:pt>
                <c:pt idx="30">
                  <c:v>5022.9189999999999</c:v>
                </c:pt>
                <c:pt idx="31">
                  <c:v>5033.7550000000001</c:v>
                </c:pt>
                <c:pt idx="32">
                  <c:v>5041.2840000000006</c:v>
                </c:pt>
                <c:pt idx="33">
                  <c:v>5049.0020000000004</c:v>
                </c:pt>
                <c:pt idx="34">
                  <c:v>5058.1619999999994</c:v>
                </c:pt>
                <c:pt idx="35">
                  <c:v>5067.4889999999996</c:v>
                </c:pt>
                <c:pt idx="36">
                  <c:v>5079.4439999999995</c:v>
                </c:pt>
                <c:pt idx="37">
                  <c:v>5086.2089999999998</c:v>
                </c:pt>
                <c:pt idx="38">
                  <c:v>5082.1099999999997</c:v>
                </c:pt>
                <c:pt idx="39">
                  <c:v>5098.8940000000002</c:v>
                </c:pt>
                <c:pt idx="40">
                  <c:v>5112.22</c:v>
                </c:pt>
                <c:pt idx="41">
                  <c:v>5117.0050000000001</c:v>
                </c:pt>
                <c:pt idx="42">
                  <c:v>5117.7850000000008</c:v>
                </c:pt>
                <c:pt idx="43">
                  <c:v>5126.6620000000003</c:v>
                </c:pt>
                <c:pt idx="44">
                  <c:v>5141.9680000000008</c:v>
                </c:pt>
                <c:pt idx="45">
                  <c:v>5150.2820000000002</c:v>
                </c:pt>
                <c:pt idx="46">
                  <c:v>5155.7029999999995</c:v>
                </c:pt>
                <c:pt idx="47">
                  <c:v>5162.07</c:v>
                </c:pt>
                <c:pt idx="48">
                  <c:v>5168.3649999999998</c:v>
                </c:pt>
                <c:pt idx="49">
                  <c:v>5168.3209999999999</c:v>
                </c:pt>
                <c:pt idx="50">
                  <c:v>5164.8599999999997</c:v>
                </c:pt>
                <c:pt idx="51">
                  <c:v>5175.4390000000003</c:v>
                </c:pt>
                <c:pt idx="52">
                  <c:v>5184.8150000000005</c:v>
                </c:pt>
                <c:pt idx="53">
                  <c:v>5190.2130000000006</c:v>
                </c:pt>
                <c:pt idx="54">
                  <c:v>5188.8719999999994</c:v>
                </c:pt>
                <c:pt idx="55">
                  <c:v>5195.5110000000004</c:v>
                </c:pt>
                <c:pt idx="56">
                  <c:v>5213.8560000000007</c:v>
                </c:pt>
                <c:pt idx="57">
                  <c:v>5232.4449999999997</c:v>
                </c:pt>
                <c:pt idx="58">
                  <c:v>5388.6610000000001</c:v>
                </c:pt>
                <c:pt idx="59">
                  <c:v>5493.6190000000006</c:v>
                </c:pt>
                <c:pt idx="60">
                  <c:v>5524.8090000000002</c:v>
                </c:pt>
                <c:pt idx="61">
                  <c:v>5557.0429999999997</c:v>
                </c:pt>
                <c:pt idx="62">
                  <c:v>5571.8160000000007</c:v>
                </c:pt>
                <c:pt idx="63">
                  <c:v>5586.1020000000008</c:v>
                </c:pt>
                <c:pt idx="64">
                  <c:v>5600.9190000000008</c:v>
                </c:pt>
                <c:pt idx="65">
                  <c:v>5611.2019999999993</c:v>
                </c:pt>
                <c:pt idx="66">
                  <c:v>5613.9210000000003</c:v>
                </c:pt>
                <c:pt idx="67">
                  <c:v>5625.7860000000001</c:v>
                </c:pt>
                <c:pt idx="68">
                  <c:v>5665.4940000000006</c:v>
                </c:pt>
                <c:pt idx="69">
                  <c:v>5689.9570000000003</c:v>
                </c:pt>
                <c:pt idx="70">
                  <c:v>5713.6399999999994</c:v>
                </c:pt>
                <c:pt idx="71">
                  <c:v>5725.9169999999995</c:v>
                </c:pt>
                <c:pt idx="72">
                  <c:v>5735.3230000000003</c:v>
                </c:pt>
                <c:pt idx="73">
                  <c:v>5748.5479999999998</c:v>
                </c:pt>
                <c:pt idx="74">
                  <c:v>5754.692</c:v>
                </c:pt>
                <c:pt idx="75">
                  <c:v>5765.5330000000004</c:v>
                </c:pt>
                <c:pt idx="76">
                  <c:v>5776.5</c:v>
                </c:pt>
                <c:pt idx="77">
                  <c:v>5780.1040000000003</c:v>
                </c:pt>
                <c:pt idx="78">
                  <c:v>5774.4410000000007</c:v>
                </c:pt>
                <c:pt idx="79">
                  <c:v>5784.732</c:v>
                </c:pt>
                <c:pt idx="80">
                  <c:v>5832.732</c:v>
                </c:pt>
                <c:pt idx="81">
                  <c:v>5858.1460000000006</c:v>
                </c:pt>
                <c:pt idx="82">
                  <c:v>5876.317</c:v>
                </c:pt>
                <c:pt idx="83">
                  <c:v>5886.982</c:v>
                </c:pt>
                <c:pt idx="84">
                  <c:v>5893.1930000000002</c:v>
                </c:pt>
                <c:pt idx="85">
                  <c:v>5902.8090000000002</c:v>
                </c:pt>
                <c:pt idx="86">
                  <c:v>5907.6149999999998</c:v>
                </c:pt>
                <c:pt idx="87">
                  <c:v>5921.1139999999996</c:v>
                </c:pt>
                <c:pt idx="88">
                  <c:v>5924.9169999999995</c:v>
                </c:pt>
                <c:pt idx="89">
                  <c:v>5922.0519999999997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0977960"/>
        <c:axId val="520981096"/>
      </c:lineChart>
      <c:dateAx>
        <c:axId val="520977960"/>
        <c:scaling>
          <c:orientation val="minMax"/>
        </c:scaling>
        <c:delete val="0"/>
        <c:axPos val="b"/>
        <c:numFmt formatCode="[$-415]mmm\ yy;@" sourceLinked="0"/>
        <c:majorTickMark val="out"/>
        <c:minorTickMark val="none"/>
        <c:tickLblPos val="nextTo"/>
        <c:spPr>
          <a:ln>
            <a:noFill/>
          </a:ln>
        </c:spPr>
        <c:txPr>
          <a:bodyPr rot="-5400000" vert="horz"/>
          <a:lstStyle/>
          <a:p>
            <a:pPr>
              <a:defRPr sz="900" baseline="0">
                <a:latin typeface="+mn-lt"/>
              </a:defRPr>
            </a:pPr>
            <a:endParaRPr lang="pl-PL"/>
          </a:p>
        </c:txPr>
        <c:crossAx val="520981096"/>
        <c:crosses val="autoZero"/>
        <c:auto val="1"/>
        <c:lblOffset val="100"/>
        <c:baseTimeUnit val="months"/>
        <c:majorUnit val="2"/>
        <c:majorTimeUnit val="months"/>
        <c:minorUnit val="1"/>
        <c:minorTimeUnit val="months"/>
      </c:dateAx>
      <c:valAx>
        <c:axId val="520981096"/>
        <c:scaling>
          <c:orientation val="minMax"/>
          <c:max val="6250"/>
          <c:min val="4750"/>
        </c:scaling>
        <c:delete val="0"/>
        <c:axPos val="l"/>
        <c:majorGridlines>
          <c:spPr>
            <a:ln>
              <a:solidFill>
                <a:sysClr val="window" lastClr="FFFFFF">
                  <a:lumMod val="85000"/>
                  <a:alpha val="66000"/>
                </a:sysClr>
              </a:solidFill>
              <a:prstDash val="dash"/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ysClr val="window" lastClr="FFFFFF">
                <a:lumMod val="75000"/>
              </a:sysClr>
            </a:solidFill>
          </a:ln>
        </c:spPr>
        <c:txPr>
          <a:bodyPr/>
          <a:lstStyle/>
          <a:p>
            <a:pPr>
              <a:defRPr sz="900">
                <a:latin typeface="+mn-lt"/>
              </a:defRPr>
            </a:pPr>
            <a:endParaRPr lang="pl-PL"/>
          </a:p>
        </c:txPr>
        <c:crossAx val="520977960"/>
        <c:crosses val="autoZero"/>
        <c:crossBetween val="between"/>
        <c:majorUnit val="25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spcBef>
          <a:spcPts val="600"/>
        </a:spcBef>
        <a:spcAft>
          <a:spcPts val="600"/>
        </a:spcAft>
        <a:defRPr sz="1100">
          <a:latin typeface="Garamond" panose="02020404030301010803" pitchFamily="18" charset="0"/>
        </a:defRPr>
      </a:pPr>
      <a:endParaRPr lang="pl-PL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'liczba emerytur nowoprzyznanych'!$B$2</c:f>
              <c:strCache>
                <c:ptCount val="1"/>
                <c:pt idx="0">
                  <c:v>2018 r.</c:v>
                </c:pt>
              </c:strCache>
            </c:strRef>
          </c:tx>
          <c:spPr>
            <a:ln>
              <a:solidFill>
                <a:srgbClr val="93B64E"/>
              </a:solidFill>
            </a:ln>
          </c:spPr>
          <c:marker>
            <c:symbol val="none"/>
          </c:marker>
          <c:cat>
            <c:strRef>
              <c:f>'liczba emerytur nowoprzyznanych'!$A$3:$A$14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'liczba emerytur nowoprzyznanych'!$B$3:$B$14</c:f>
              <c:numCache>
                <c:formatCode>#,##0.0</c:formatCode>
                <c:ptCount val="12"/>
                <c:pt idx="0">
                  <c:v>35.700000000000003</c:v>
                </c:pt>
                <c:pt idx="1">
                  <c:v>44.6</c:v>
                </c:pt>
                <c:pt idx="2">
                  <c:v>27.4</c:v>
                </c:pt>
                <c:pt idx="3">
                  <c:v>26.1</c:v>
                </c:pt>
                <c:pt idx="4">
                  <c:v>26.1</c:v>
                </c:pt>
                <c:pt idx="5">
                  <c:v>23</c:v>
                </c:pt>
                <c:pt idx="6">
                  <c:v>15.4</c:v>
                </c:pt>
                <c:pt idx="7">
                  <c:v>20.7</c:v>
                </c:pt>
                <c:pt idx="8">
                  <c:v>46</c:v>
                </c:pt>
                <c:pt idx="9">
                  <c:v>33.200000000000003</c:v>
                </c:pt>
                <c:pt idx="10">
                  <c:v>33.1</c:v>
                </c:pt>
                <c:pt idx="11">
                  <c:v>23.3</c:v>
                </c:pt>
              </c:numCache>
            </c:numRef>
          </c:val>
        </c:ser>
        <c:ser>
          <c:idx val="1"/>
          <c:order val="1"/>
          <c:tx>
            <c:strRef>
              <c:f>'liczba emerytur nowoprzyznanych'!$C$2</c:f>
              <c:strCache>
                <c:ptCount val="1"/>
                <c:pt idx="0">
                  <c:v>2019 r.</c:v>
                </c:pt>
              </c:strCache>
            </c:strRef>
          </c:tx>
          <c:marker>
            <c:symbol val="none"/>
          </c:marker>
          <c:cat>
            <c:strRef>
              <c:f>'liczba emerytur nowoprzyznanych'!$A$3:$A$14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'liczba emerytur nowoprzyznanych'!$C$3:$C$14</c:f>
              <c:numCache>
                <c:formatCode>#,##0.0</c:formatCode>
                <c:ptCount val="12"/>
                <c:pt idx="0">
                  <c:v>19.8</c:v>
                </c:pt>
                <c:pt idx="1">
                  <c:v>28.5</c:v>
                </c:pt>
                <c:pt idx="2">
                  <c:v>22.6</c:v>
                </c:pt>
                <c:pt idx="3">
                  <c:v>21.6</c:v>
                </c:pt>
                <c:pt idx="4">
                  <c:v>22.3</c:v>
                </c:pt>
                <c:pt idx="5">
                  <c:v>18</c:v>
                </c:pt>
                <c:pt idx="6">
                  <c:v>9.3000000000000007</c:v>
                </c:pt>
                <c:pt idx="7">
                  <c:v>19.399999999999999</c:v>
                </c:pt>
                <c:pt idx="8">
                  <c:v>53.6</c:v>
                </c:pt>
                <c:pt idx="9">
                  <c:v>35.799999999999997</c:v>
                </c:pt>
                <c:pt idx="10">
                  <c:v>28.7</c:v>
                </c:pt>
                <c:pt idx="11">
                  <c:v>22.8</c:v>
                </c:pt>
              </c:numCache>
            </c:numRef>
          </c:val>
        </c:ser>
        <c:ser>
          <c:idx val="2"/>
          <c:order val="2"/>
          <c:tx>
            <c:strRef>
              <c:f>'liczba emerytur nowoprzyznanych'!$D$2</c:f>
              <c:strCache>
                <c:ptCount val="1"/>
                <c:pt idx="0">
                  <c:v>2020 r.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'liczba emerytur nowoprzyznanych'!$A$3:$A$14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'liczba emerytur nowoprzyznanych'!$D$3:$D$14</c:f>
              <c:numCache>
                <c:formatCode>General</c:formatCode>
                <c:ptCount val="12"/>
                <c:pt idx="0">
                  <c:v>17.5</c:v>
                </c:pt>
                <c:pt idx="1">
                  <c:v>25.9</c:v>
                </c:pt>
                <c:pt idx="2">
                  <c:v>20.3</c:v>
                </c:pt>
                <c:pt idx="3">
                  <c:v>22.2</c:v>
                </c:pt>
                <c:pt idx="4">
                  <c:v>16.600000000000001</c:v>
                </c:pt>
                <c:pt idx="5">
                  <c:v>15.3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5635048"/>
        <c:axId val="515639752"/>
      </c:radarChart>
      <c:catAx>
        <c:axId val="51563504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515639752"/>
        <c:crosses val="autoZero"/>
        <c:auto val="1"/>
        <c:lblAlgn val="ctr"/>
        <c:lblOffset val="100"/>
        <c:noMultiLvlLbl val="0"/>
      </c:catAx>
      <c:valAx>
        <c:axId val="51563975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65000"/>
                </a:schemeClr>
              </a:solidFill>
              <a:prstDash val="dash"/>
            </a:ln>
          </c:spPr>
        </c:majorGridlines>
        <c:numFmt formatCode="#,##0" sourceLinked="0"/>
        <c:majorTickMark val="cross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515635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47121076157615E-2"/>
          <c:y val="0.16488975463432926"/>
          <c:w val="0.91132765052174625"/>
          <c:h val="0.63284037222619904"/>
        </c:manualLayout>
      </c:layout>
      <c:lineChart>
        <c:grouping val="standard"/>
        <c:varyColors val="0"/>
        <c:ser>
          <c:idx val="0"/>
          <c:order val="0"/>
          <c:tx>
            <c:strRef>
              <c:f>Arkusz1!$C$1</c:f>
              <c:strCache>
                <c:ptCount val="1"/>
                <c:pt idx="0">
                  <c:v>Renty rodzinne</c:v>
                </c:pt>
              </c:strCache>
            </c:strRef>
          </c:tx>
          <c:spPr>
            <a:ln>
              <a:solidFill>
                <a:srgbClr val="00993F"/>
              </a:solidFill>
            </a:ln>
          </c:spPr>
          <c:marker>
            <c:symbol val="none"/>
          </c:marker>
          <c:cat>
            <c:numRef>
              <c:f>Arkusz1!$A$2:$A$91</c:f>
              <c:numCache>
                <c:formatCode>[$-415]mmm\ yy;@</c:formatCode>
                <c:ptCount val="90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  <c:pt idx="25">
                  <c:v>42036</c:v>
                </c:pt>
                <c:pt idx="26">
                  <c:v>42064</c:v>
                </c:pt>
                <c:pt idx="27">
                  <c:v>42095</c:v>
                </c:pt>
                <c:pt idx="28">
                  <c:v>42125</c:v>
                </c:pt>
                <c:pt idx="29">
                  <c:v>42156</c:v>
                </c:pt>
                <c:pt idx="30">
                  <c:v>42186</c:v>
                </c:pt>
                <c:pt idx="31">
                  <c:v>42217</c:v>
                </c:pt>
                <c:pt idx="32">
                  <c:v>42248</c:v>
                </c:pt>
                <c:pt idx="33">
                  <c:v>42278</c:v>
                </c:pt>
                <c:pt idx="34">
                  <c:v>42309</c:v>
                </c:pt>
                <c:pt idx="35">
                  <c:v>42339</c:v>
                </c:pt>
                <c:pt idx="36">
                  <c:v>42370</c:v>
                </c:pt>
                <c:pt idx="37">
                  <c:v>42401</c:v>
                </c:pt>
                <c:pt idx="38">
                  <c:v>42430</c:v>
                </c:pt>
                <c:pt idx="39">
                  <c:v>42461</c:v>
                </c:pt>
                <c:pt idx="40">
                  <c:v>42491</c:v>
                </c:pt>
                <c:pt idx="41">
                  <c:v>42522</c:v>
                </c:pt>
                <c:pt idx="42">
                  <c:v>42552</c:v>
                </c:pt>
                <c:pt idx="43">
                  <c:v>42583</c:v>
                </c:pt>
                <c:pt idx="44">
                  <c:v>42614</c:v>
                </c:pt>
                <c:pt idx="45">
                  <c:v>42644</c:v>
                </c:pt>
                <c:pt idx="46">
                  <c:v>42675</c:v>
                </c:pt>
                <c:pt idx="47">
                  <c:v>42705</c:v>
                </c:pt>
                <c:pt idx="48">
                  <c:v>42736</c:v>
                </c:pt>
                <c:pt idx="49">
                  <c:v>42767</c:v>
                </c:pt>
                <c:pt idx="50">
                  <c:v>42795</c:v>
                </c:pt>
                <c:pt idx="51">
                  <c:v>42826</c:v>
                </c:pt>
                <c:pt idx="52">
                  <c:v>42856</c:v>
                </c:pt>
                <c:pt idx="53">
                  <c:v>42887</c:v>
                </c:pt>
                <c:pt idx="54">
                  <c:v>42917</c:v>
                </c:pt>
                <c:pt idx="55">
                  <c:v>42948</c:v>
                </c:pt>
                <c:pt idx="56">
                  <c:v>42979</c:v>
                </c:pt>
                <c:pt idx="57">
                  <c:v>43009</c:v>
                </c:pt>
                <c:pt idx="58">
                  <c:v>43040</c:v>
                </c:pt>
                <c:pt idx="59">
                  <c:v>43070</c:v>
                </c:pt>
                <c:pt idx="60">
                  <c:v>43101</c:v>
                </c:pt>
                <c:pt idx="61">
                  <c:v>43132</c:v>
                </c:pt>
                <c:pt idx="62">
                  <c:v>43160</c:v>
                </c:pt>
                <c:pt idx="63">
                  <c:v>43191</c:v>
                </c:pt>
                <c:pt idx="64">
                  <c:v>43221</c:v>
                </c:pt>
                <c:pt idx="65">
                  <c:v>43252</c:v>
                </c:pt>
                <c:pt idx="66">
                  <c:v>43282</c:v>
                </c:pt>
                <c:pt idx="67">
                  <c:v>43313</c:v>
                </c:pt>
                <c:pt idx="68">
                  <c:v>43344</c:v>
                </c:pt>
                <c:pt idx="69">
                  <c:v>43374</c:v>
                </c:pt>
                <c:pt idx="70">
                  <c:v>43405</c:v>
                </c:pt>
                <c:pt idx="71">
                  <c:v>43435</c:v>
                </c:pt>
                <c:pt idx="72">
                  <c:v>43466</c:v>
                </c:pt>
                <c:pt idx="73">
                  <c:v>43497</c:v>
                </c:pt>
                <c:pt idx="74">
                  <c:v>43525</c:v>
                </c:pt>
                <c:pt idx="75">
                  <c:v>43556</c:v>
                </c:pt>
                <c:pt idx="76">
                  <c:v>43586</c:v>
                </c:pt>
                <c:pt idx="77">
                  <c:v>43617</c:v>
                </c:pt>
                <c:pt idx="78">
                  <c:v>43647</c:v>
                </c:pt>
                <c:pt idx="79">
                  <c:v>43678</c:v>
                </c:pt>
                <c:pt idx="80">
                  <c:v>43709</c:v>
                </c:pt>
                <c:pt idx="81" formatCode="mmm\-yy">
                  <c:v>43739</c:v>
                </c:pt>
                <c:pt idx="82" formatCode="mmm\-yy">
                  <c:v>43770</c:v>
                </c:pt>
                <c:pt idx="83" formatCode="mmm\-yy">
                  <c:v>43800</c:v>
                </c:pt>
                <c:pt idx="84" formatCode="mmm\-yy">
                  <c:v>43831</c:v>
                </c:pt>
                <c:pt idx="85" formatCode="mmm\-yy">
                  <c:v>43862</c:v>
                </c:pt>
                <c:pt idx="86" formatCode="mmm\-yy">
                  <c:v>43891</c:v>
                </c:pt>
                <c:pt idx="87" formatCode="mmm\-yy">
                  <c:v>43922</c:v>
                </c:pt>
                <c:pt idx="88" formatCode="mmm\-yy">
                  <c:v>43952</c:v>
                </c:pt>
                <c:pt idx="89" formatCode="mmm\-yy">
                  <c:v>43983</c:v>
                </c:pt>
              </c:numCache>
            </c:numRef>
          </c:cat>
          <c:val>
            <c:numRef>
              <c:f>Arkusz1!$C$2:$C$91</c:f>
              <c:numCache>
                <c:formatCode>#,##0.0</c:formatCode>
                <c:ptCount val="90"/>
                <c:pt idx="0">
                  <c:v>1246.8969999999999</c:v>
                </c:pt>
                <c:pt idx="1">
                  <c:v>1244.1019999999999</c:v>
                </c:pt>
                <c:pt idx="2">
                  <c:v>1242.5150000000001</c:v>
                </c:pt>
                <c:pt idx="3">
                  <c:v>1244.095</c:v>
                </c:pt>
                <c:pt idx="4">
                  <c:v>1244.9089999999999</c:v>
                </c:pt>
                <c:pt idx="5">
                  <c:v>1245.885</c:v>
                </c:pt>
                <c:pt idx="6">
                  <c:v>1246.8879999999999</c:v>
                </c:pt>
                <c:pt idx="7">
                  <c:v>1247.6879999999999</c:v>
                </c:pt>
                <c:pt idx="8">
                  <c:v>1225.643</c:v>
                </c:pt>
                <c:pt idx="9">
                  <c:v>1223.6420000000001</c:v>
                </c:pt>
                <c:pt idx="10">
                  <c:v>1239.473</c:v>
                </c:pt>
                <c:pt idx="11">
                  <c:v>1245.9000000000001</c:v>
                </c:pt>
                <c:pt idx="12">
                  <c:v>1246.9690000000001</c:v>
                </c:pt>
                <c:pt idx="13">
                  <c:v>1244.4870000000001</c:v>
                </c:pt>
                <c:pt idx="14">
                  <c:v>1243.9000000000001</c:v>
                </c:pt>
                <c:pt idx="15">
                  <c:v>1245.9889999999998</c:v>
                </c:pt>
                <c:pt idx="16">
                  <c:v>1247.5989999999999</c:v>
                </c:pt>
                <c:pt idx="17">
                  <c:v>1248.8019999999999</c:v>
                </c:pt>
                <c:pt idx="18">
                  <c:v>1248.9190000000001</c:v>
                </c:pt>
                <c:pt idx="19">
                  <c:v>1249.242</c:v>
                </c:pt>
                <c:pt idx="20">
                  <c:v>1229.951</c:v>
                </c:pt>
                <c:pt idx="21">
                  <c:v>1227.9150000000002</c:v>
                </c:pt>
                <c:pt idx="22">
                  <c:v>1241.7460000000001</c:v>
                </c:pt>
                <c:pt idx="23">
                  <c:v>1246.1270000000002</c:v>
                </c:pt>
                <c:pt idx="24">
                  <c:v>1246.826</c:v>
                </c:pt>
                <c:pt idx="25">
                  <c:v>1244.5260000000001</c:v>
                </c:pt>
                <c:pt idx="26">
                  <c:v>1243.2539999999999</c:v>
                </c:pt>
                <c:pt idx="27">
                  <c:v>1244.385</c:v>
                </c:pt>
                <c:pt idx="28">
                  <c:v>1245.095</c:v>
                </c:pt>
                <c:pt idx="29">
                  <c:v>1246.18</c:v>
                </c:pt>
                <c:pt idx="30">
                  <c:v>1245.548</c:v>
                </c:pt>
                <c:pt idx="31">
                  <c:v>1245.8230000000001</c:v>
                </c:pt>
                <c:pt idx="32">
                  <c:v>1226.0719999999999</c:v>
                </c:pt>
                <c:pt idx="33">
                  <c:v>1224.1849999999999</c:v>
                </c:pt>
                <c:pt idx="34">
                  <c:v>1236.5429999999999</c:v>
                </c:pt>
                <c:pt idx="35">
                  <c:v>1240.796</c:v>
                </c:pt>
                <c:pt idx="36">
                  <c:v>1241.566</c:v>
                </c:pt>
                <c:pt idx="37">
                  <c:v>1239.194</c:v>
                </c:pt>
                <c:pt idx="38">
                  <c:v>1238.2629999999999</c:v>
                </c:pt>
                <c:pt idx="39">
                  <c:v>1239.5650000000001</c:v>
                </c:pt>
                <c:pt idx="40">
                  <c:v>1240.3889999999999</c:v>
                </c:pt>
                <c:pt idx="41">
                  <c:v>1241.268</c:v>
                </c:pt>
                <c:pt idx="42">
                  <c:v>1241.5520000000001</c:v>
                </c:pt>
                <c:pt idx="43">
                  <c:v>1241.184</c:v>
                </c:pt>
                <c:pt idx="44">
                  <c:v>1223.9780000000001</c:v>
                </c:pt>
                <c:pt idx="45">
                  <c:v>1223.258</c:v>
                </c:pt>
                <c:pt idx="46">
                  <c:v>1233.327</c:v>
                </c:pt>
                <c:pt idx="47">
                  <c:v>1237.2339999999999</c:v>
                </c:pt>
                <c:pt idx="48">
                  <c:v>1237.6000000000001</c:v>
                </c:pt>
                <c:pt idx="49">
                  <c:v>1234.6199999999999</c:v>
                </c:pt>
                <c:pt idx="50">
                  <c:v>1232.83</c:v>
                </c:pt>
                <c:pt idx="51">
                  <c:v>1234.607</c:v>
                </c:pt>
                <c:pt idx="52">
                  <c:v>1235.143</c:v>
                </c:pt>
                <c:pt idx="53">
                  <c:v>1236.1880000000001</c:v>
                </c:pt>
                <c:pt idx="54">
                  <c:v>1236.2160000000001</c:v>
                </c:pt>
                <c:pt idx="55">
                  <c:v>1235.816</c:v>
                </c:pt>
                <c:pt idx="56">
                  <c:v>1219.5229999999999</c:v>
                </c:pt>
                <c:pt idx="57">
                  <c:v>1217.883</c:v>
                </c:pt>
                <c:pt idx="58">
                  <c:v>1223.3109999999999</c:v>
                </c:pt>
                <c:pt idx="59">
                  <c:v>1226.1559999999999</c:v>
                </c:pt>
                <c:pt idx="60">
                  <c:v>1225.8480000000002</c:v>
                </c:pt>
                <c:pt idx="61">
                  <c:v>1222.847</c:v>
                </c:pt>
                <c:pt idx="62">
                  <c:v>1220.8820000000001</c:v>
                </c:pt>
                <c:pt idx="63">
                  <c:v>1221.1499999999999</c:v>
                </c:pt>
                <c:pt idx="64">
                  <c:v>1221.8760000000002</c:v>
                </c:pt>
                <c:pt idx="65">
                  <c:v>1222.585</c:v>
                </c:pt>
                <c:pt idx="66">
                  <c:v>1223.1819999999998</c:v>
                </c:pt>
                <c:pt idx="67">
                  <c:v>1222.231</c:v>
                </c:pt>
                <c:pt idx="68">
                  <c:v>1206.126</c:v>
                </c:pt>
                <c:pt idx="69" formatCode="0.0">
                  <c:v>1203.723</c:v>
                </c:pt>
                <c:pt idx="70" formatCode="0.0">
                  <c:v>1213.018</c:v>
                </c:pt>
                <c:pt idx="71" formatCode="0.0">
                  <c:v>1216.2280000000001</c:v>
                </c:pt>
                <c:pt idx="72" formatCode="0.0">
                  <c:v>1216.393</c:v>
                </c:pt>
                <c:pt idx="73" formatCode="0.0">
                  <c:v>1214.153</c:v>
                </c:pt>
                <c:pt idx="74" formatCode="0.0">
                  <c:v>1211.961</c:v>
                </c:pt>
                <c:pt idx="75" formatCode="0.0">
                  <c:v>1213.4509999999998</c:v>
                </c:pt>
                <c:pt idx="76" formatCode="0.0">
                  <c:v>1213.876</c:v>
                </c:pt>
                <c:pt idx="77" formatCode="0.0">
                  <c:v>1214.1380000000001</c:v>
                </c:pt>
                <c:pt idx="78" formatCode="0.0">
                  <c:v>1213.9179999999999</c:v>
                </c:pt>
                <c:pt idx="79" formatCode="0.0">
                  <c:v>1212.7809999999999</c:v>
                </c:pt>
                <c:pt idx="80" formatCode="0.0">
                  <c:v>1198.374</c:v>
                </c:pt>
                <c:pt idx="81" formatCode="0.0">
                  <c:v>1196.0909999999999</c:v>
                </c:pt>
                <c:pt idx="82" formatCode="0.0">
                  <c:v>1203.6329999999998</c:v>
                </c:pt>
                <c:pt idx="83" formatCode="0.0">
                  <c:v>1207.039</c:v>
                </c:pt>
                <c:pt idx="84" formatCode="0.0">
                  <c:v>1206.9479999999999</c:v>
                </c:pt>
                <c:pt idx="85" formatCode="0.0">
                  <c:v>1204.54</c:v>
                </c:pt>
                <c:pt idx="86" formatCode="0.0">
                  <c:v>1202.8350000000003</c:v>
                </c:pt>
                <c:pt idx="87" formatCode="0.0">
                  <c:v>1204.9749999999999</c:v>
                </c:pt>
                <c:pt idx="88" formatCode="0.0">
                  <c:v>1203.6930000000002</c:v>
                </c:pt>
                <c:pt idx="89" formatCode="0.0">
                  <c:v>1204.1160000000002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Arkusz1!$B$1</c:f>
              <c:strCache>
                <c:ptCount val="1"/>
                <c:pt idx="0">
                  <c:v>Renty z tytułu niezdolności do pracy</c:v>
                </c:pt>
              </c:strCache>
            </c:strRef>
          </c:tx>
          <c:spPr>
            <a:ln>
              <a:solidFill>
                <a:srgbClr val="FFB34F"/>
              </a:solidFill>
            </a:ln>
          </c:spPr>
          <c:marker>
            <c:symbol val="none"/>
          </c:marker>
          <c:cat>
            <c:numRef>
              <c:f>Arkusz1!$A$2:$A$91</c:f>
              <c:numCache>
                <c:formatCode>[$-415]mmm\ yy;@</c:formatCode>
                <c:ptCount val="90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  <c:pt idx="25">
                  <c:v>42036</c:v>
                </c:pt>
                <c:pt idx="26">
                  <c:v>42064</c:v>
                </c:pt>
                <c:pt idx="27">
                  <c:v>42095</c:v>
                </c:pt>
                <c:pt idx="28">
                  <c:v>42125</c:v>
                </c:pt>
                <c:pt idx="29">
                  <c:v>42156</c:v>
                </c:pt>
                <c:pt idx="30">
                  <c:v>42186</c:v>
                </c:pt>
                <c:pt idx="31">
                  <c:v>42217</c:v>
                </c:pt>
                <c:pt idx="32">
                  <c:v>42248</c:v>
                </c:pt>
                <c:pt idx="33">
                  <c:v>42278</c:v>
                </c:pt>
                <c:pt idx="34">
                  <c:v>42309</c:v>
                </c:pt>
                <c:pt idx="35">
                  <c:v>42339</c:v>
                </c:pt>
                <c:pt idx="36">
                  <c:v>42370</c:v>
                </c:pt>
                <c:pt idx="37">
                  <c:v>42401</c:v>
                </c:pt>
                <c:pt idx="38">
                  <c:v>42430</c:v>
                </c:pt>
                <c:pt idx="39">
                  <c:v>42461</c:v>
                </c:pt>
                <c:pt idx="40">
                  <c:v>42491</c:v>
                </c:pt>
                <c:pt idx="41">
                  <c:v>42522</c:v>
                </c:pt>
                <c:pt idx="42">
                  <c:v>42552</c:v>
                </c:pt>
                <c:pt idx="43">
                  <c:v>42583</c:v>
                </c:pt>
                <c:pt idx="44">
                  <c:v>42614</c:v>
                </c:pt>
                <c:pt idx="45">
                  <c:v>42644</c:v>
                </c:pt>
                <c:pt idx="46">
                  <c:v>42675</c:v>
                </c:pt>
                <c:pt idx="47">
                  <c:v>42705</c:v>
                </c:pt>
                <c:pt idx="48">
                  <c:v>42736</c:v>
                </c:pt>
                <c:pt idx="49">
                  <c:v>42767</c:v>
                </c:pt>
                <c:pt idx="50">
                  <c:v>42795</c:v>
                </c:pt>
                <c:pt idx="51">
                  <c:v>42826</c:v>
                </c:pt>
                <c:pt idx="52">
                  <c:v>42856</c:v>
                </c:pt>
                <c:pt idx="53">
                  <c:v>42887</c:v>
                </c:pt>
                <c:pt idx="54">
                  <c:v>42917</c:v>
                </c:pt>
                <c:pt idx="55">
                  <c:v>42948</c:v>
                </c:pt>
                <c:pt idx="56">
                  <c:v>42979</c:v>
                </c:pt>
                <c:pt idx="57">
                  <c:v>43009</c:v>
                </c:pt>
                <c:pt idx="58">
                  <c:v>43040</c:v>
                </c:pt>
                <c:pt idx="59">
                  <c:v>43070</c:v>
                </c:pt>
                <c:pt idx="60">
                  <c:v>43101</c:v>
                </c:pt>
                <c:pt idx="61">
                  <c:v>43132</c:v>
                </c:pt>
                <c:pt idx="62">
                  <c:v>43160</c:v>
                </c:pt>
                <c:pt idx="63">
                  <c:v>43191</c:v>
                </c:pt>
                <c:pt idx="64">
                  <c:v>43221</c:v>
                </c:pt>
                <c:pt idx="65">
                  <c:v>43252</c:v>
                </c:pt>
                <c:pt idx="66">
                  <c:v>43282</c:v>
                </c:pt>
                <c:pt idx="67">
                  <c:v>43313</c:v>
                </c:pt>
                <c:pt idx="68">
                  <c:v>43344</c:v>
                </c:pt>
                <c:pt idx="69">
                  <c:v>43374</c:v>
                </c:pt>
                <c:pt idx="70">
                  <c:v>43405</c:v>
                </c:pt>
                <c:pt idx="71">
                  <c:v>43435</c:v>
                </c:pt>
                <c:pt idx="72">
                  <c:v>43466</c:v>
                </c:pt>
                <c:pt idx="73">
                  <c:v>43497</c:v>
                </c:pt>
                <c:pt idx="74">
                  <c:v>43525</c:v>
                </c:pt>
                <c:pt idx="75">
                  <c:v>43556</c:v>
                </c:pt>
                <c:pt idx="76">
                  <c:v>43586</c:v>
                </c:pt>
                <c:pt idx="77">
                  <c:v>43617</c:v>
                </c:pt>
                <c:pt idx="78">
                  <c:v>43647</c:v>
                </c:pt>
                <c:pt idx="79">
                  <c:v>43678</c:v>
                </c:pt>
                <c:pt idx="80">
                  <c:v>43709</c:v>
                </c:pt>
                <c:pt idx="81" formatCode="mmm\-yy">
                  <c:v>43739</c:v>
                </c:pt>
                <c:pt idx="82" formatCode="mmm\-yy">
                  <c:v>43770</c:v>
                </c:pt>
                <c:pt idx="83" formatCode="mmm\-yy">
                  <c:v>43800</c:v>
                </c:pt>
                <c:pt idx="84" formatCode="mmm\-yy">
                  <c:v>43831</c:v>
                </c:pt>
                <c:pt idx="85" formatCode="mmm\-yy">
                  <c:v>43862</c:v>
                </c:pt>
                <c:pt idx="86" formatCode="mmm\-yy">
                  <c:v>43891</c:v>
                </c:pt>
                <c:pt idx="87" formatCode="mmm\-yy">
                  <c:v>43922</c:v>
                </c:pt>
                <c:pt idx="88" formatCode="mmm\-yy">
                  <c:v>43952</c:v>
                </c:pt>
                <c:pt idx="89" formatCode="mmm\-yy">
                  <c:v>43983</c:v>
                </c:pt>
              </c:numCache>
            </c:numRef>
          </c:cat>
          <c:val>
            <c:numRef>
              <c:f>Arkusz1!$B$2:$B$91</c:f>
              <c:numCache>
                <c:formatCode>#,##0.0</c:formatCode>
                <c:ptCount val="90"/>
                <c:pt idx="0">
                  <c:v>1046.2460000000001</c:v>
                </c:pt>
                <c:pt idx="1">
                  <c:v>1046.4829999999997</c:v>
                </c:pt>
                <c:pt idx="2">
                  <c:v>1045.9209999999998</c:v>
                </c:pt>
                <c:pt idx="3">
                  <c:v>1038.875</c:v>
                </c:pt>
                <c:pt idx="4">
                  <c:v>1034.4000000000001</c:v>
                </c:pt>
                <c:pt idx="5">
                  <c:v>1031.7449999999999</c:v>
                </c:pt>
                <c:pt idx="6">
                  <c:v>1025.3879999999999</c:v>
                </c:pt>
                <c:pt idx="7">
                  <c:v>1026.4340000000002</c:v>
                </c:pt>
                <c:pt idx="8">
                  <c:v>1025.604</c:v>
                </c:pt>
                <c:pt idx="9">
                  <c:v>1020.85</c:v>
                </c:pt>
                <c:pt idx="10">
                  <c:v>1017.3929999999999</c:v>
                </c:pt>
                <c:pt idx="11">
                  <c:v>1014.401</c:v>
                </c:pt>
                <c:pt idx="12">
                  <c:v>1007.7</c:v>
                </c:pt>
                <c:pt idx="13">
                  <c:v>1006.4</c:v>
                </c:pt>
                <c:pt idx="14">
                  <c:v>1006.602</c:v>
                </c:pt>
                <c:pt idx="15">
                  <c:v>1001.093</c:v>
                </c:pt>
                <c:pt idx="16">
                  <c:v>998.6930000000001</c:v>
                </c:pt>
                <c:pt idx="17">
                  <c:v>998.4</c:v>
                </c:pt>
                <c:pt idx="18">
                  <c:v>991.90699999999993</c:v>
                </c:pt>
                <c:pt idx="19">
                  <c:v>991.19499999999982</c:v>
                </c:pt>
                <c:pt idx="20">
                  <c:v>987.91800000000001</c:v>
                </c:pt>
                <c:pt idx="21">
                  <c:v>984.02699999999993</c:v>
                </c:pt>
                <c:pt idx="22">
                  <c:v>977.05700000000002</c:v>
                </c:pt>
                <c:pt idx="23">
                  <c:v>971.86099999999999</c:v>
                </c:pt>
                <c:pt idx="24">
                  <c:v>963.9</c:v>
                </c:pt>
                <c:pt idx="25">
                  <c:v>962.6</c:v>
                </c:pt>
                <c:pt idx="26">
                  <c:v>960.51499999999999</c:v>
                </c:pt>
                <c:pt idx="27">
                  <c:v>953.34600000000012</c:v>
                </c:pt>
                <c:pt idx="28">
                  <c:v>947.78199999999993</c:v>
                </c:pt>
                <c:pt idx="29">
                  <c:v>947.78699999999992</c:v>
                </c:pt>
                <c:pt idx="30">
                  <c:v>940.9</c:v>
                </c:pt>
                <c:pt idx="31">
                  <c:v>940.346</c:v>
                </c:pt>
                <c:pt idx="32">
                  <c:v>938.2</c:v>
                </c:pt>
                <c:pt idx="33">
                  <c:v>935.02100000000007</c:v>
                </c:pt>
                <c:pt idx="34">
                  <c:v>927.77700000000004</c:v>
                </c:pt>
                <c:pt idx="35">
                  <c:v>923.04700000000003</c:v>
                </c:pt>
                <c:pt idx="36">
                  <c:v>916.50800000000004</c:v>
                </c:pt>
                <c:pt idx="37">
                  <c:v>917.42600000000004</c:v>
                </c:pt>
                <c:pt idx="38">
                  <c:v>915.39199999999994</c:v>
                </c:pt>
                <c:pt idx="39">
                  <c:v>908.31899999999996</c:v>
                </c:pt>
                <c:pt idx="40">
                  <c:v>902.45299999999997</c:v>
                </c:pt>
                <c:pt idx="41">
                  <c:v>901.67700000000013</c:v>
                </c:pt>
                <c:pt idx="42">
                  <c:v>895.32799999999997</c:v>
                </c:pt>
                <c:pt idx="43">
                  <c:v>893.38400000000001</c:v>
                </c:pt>
                <c:pt idx="44">
                  <c:v>891.11</c:v>
                </c:pt>
                <c:pt idx="45">
                  <c:v>888.21899999999994</c:v>
                </c:pt>
                <c:pt idx="46">
                  <c:v>882.66099999999994</c:v>
                </c:pt>
                <c:pt idx="47">
                  <c:v>879.83300000000008</c:v>
                </c:pt>
                <c:pt idx="48">
                  <c:v>874.76499999999999</c:v>
                </c:pt>
                <c:pt idx="49">
                  <c:v>873.8359999999999</c:v>
                </c:pt>
                <c:pt idx="50">
                  <c:v>868.10599999999999</c:v>
                </c:pt>
                <c:pt idx="51">
                  <c:v>861.80300000000011</c:v>
                </c:pt>
                <c:pt idx="52">
                  <c:v>854.65</c:v>
                </c:pt>
                <c:pt idx="53">
                  <c:v>852.26599999999996</c:v>
                </c:pt>
                <c:pt idx="54">
                  <c:v>846</c:v>
                </c:pt>
                <c:pt idx="55">
                  <c:v>843.41200000000003</c:v>
                </c:pt>
                <c:pt idx="56">
                  <c:v>842.55200000000002</c:v>
                </c:pt>
                <c:pt idx="57">
                  <c:v>830.0780000000002</c:v>
                </c:pt>
                <c:pt idx="58">
                  <c:v>795.32399999999996</c:v>
                </c:pt>
                <c:pt idx="59">
                  <c:v>783.57500000000005</c:v>
                </c:pt>
                <c:pt idx="60">
                  <c:v>775.38800000000015</c:v>
                </c:pt>
                <c:pt idx="61">
                  <c:v>770.84699999999998</c:v>
                </c:pt>
                <c:pt idx="62">
                  <c:v>767.53800000000001</c:v>
                </c:pt>
                <c:pt idx="63">
                  <c:v>760.79000000000008</c:v>
                </c:pt>
                <c:pt idx="64">
                  <c:v>755.2410000000001</c:v>
                </c:pt>
                <c:pt idx="65">
                  <c:v>750.94199999999989</c:v>
                </c:pt>
                <c:pt idx="66">
                  <c:v>747.61699999999996</c:v>
                </c:pt>
                <c:pt idx="67">
                  <c:v>744.96799999999996</c:v>
                </c:pt>
                <c:pt idx="68">
                  <c:v>741.6</c:v>
                </c:pt>
                <c:pt idx="69" formatCode="0.0">
                  <c:v>733.61399999999992</c:v>
                </c:pt>
                <c:pt idx="70" formatCode="0.0">
                  <c:v>729.00400000000002</c:v>
                </c:pt>
                <c:pt idx="71" formatCode="0.0">
                  <c:v>724.96</c:v>
                </c:pt>
                <c:pt idx="72" formatCode="0.0">
                  <c:v>719.20399999999995</c:v>
                </c:pt>
                <c:pt idx="73" formatCode="0.0">
                  <c:v>716.26900000000001</c:v>
                </c:pt>
                <c:pt idx="74" formatCode="0.0">
                  <c:v>714.10300000000007</c:v>
                </c:pt>
                <c:pt idx="75" formatCode="0.0">
                  <c:v>709.65600000000006</c:v>
                </c:pt>
                <c:pt idx="76" formatCode="0.0">
                  <c:v>705.721</c:v>
                </c:pt>
                <c:pt idx="77" formatCode="0.0">
                  <c:v>702.048</c:v>
                </c:pt>
                <c:pt idx="78" formatCode="0.0">
                  <c:v>698.59199999999998</c:v>
                </c:pt>
                <c:pt idx="79" formatCode="0.0">
                  <c:v>695.30200000000002</c:v>
                </c:pt>
                <c:pt idx="80" formatCode="0.0">
                  <c:v>692.13400000000001</c:v>
                </c:pt>
                <c:pt idx="81" formatCode="0.0">
                  <c:v>686.05600000000004</c:v>
                </c:pt>
                <c:pt idx="82" formatCode="0.0">
                  <c:v>680.95500000000004</c:v>
                </c:pt>
                <c:pt idx="83" formatCode="0.0">
                  <c:v>675.25399999999991</c:v>
                </c:pt>
                <c:pt idx="84" formatCode="0.0">
                  <c:v>666.66099999999983</c:v>
                </c:pt>
                <c:pt idx="85" formatCode="0.0">
                  <c:v>659.57600000000002</c:v>
                </c:pt>
                <c:pt idx="86" formatCode="0.0">
                  <c:v>655.83899999999994</c:v>
                </c:pt>
                <c:pt idx="87" formatCode="0.0">
                  <c:v>652.77799999999991</c:v>
                </c:pt>
                <c:pt idx="88" formatCode="0.0">
                  <c:v>658.59499999999991</c:v>
                </c:pt>
                <c:pt idx="89" formatCode="0.0">
                  <c:v>657.71800000000007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7008064"/>
        <c:axId val="507008848"/>
      </c:lineChart>
      <c:catAx>
        <c:axId val="50700806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[$-415]mmm\ yy;@" sourceLinked="1"/>
        <c:majorTickMark val="none"/>
        <c:minorTickMark val="none"/>
        <c:tickLblPos val="nextTo"/>
        <c:spPr>
          <a:ln>
            <a:noFill/>
          </a:ln>
        </c:spPr>
        <c:txPr>
          <a:bodyPr rot="-5400000" vert="horz"/>
          <a:lstStyle/>
          <a:p>
            <a:pPr>
              <a:defRPr sz="850" baseline="0"/>
            </a:pPr>
            <a:endParaRPr lang="pl-PL"/>
          </a:p>
        </c:txPr>
        <c:crossAx val="507008848"/>
        <c:crossesAt val="500"/>
        <c:auto val="0"/>
        <c:lblAlgn val="ctr"/>
        <c:lblOffset val="100"/>
        <c:tickLblSkip val="2"/>
        <c:tickMarkSkip val="2"/>
        <c:noMultiLvlLbl val="0"/>
      </c:catAx>
      <c:valAx>
        <c:axId val="507008848"/>
        <c:scaling>
          <c:orientation val="minMax"/>
          <c:max val="1500"/>
          <c:min val="50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dash"/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900"/>
            </a:pPr>
            <a:endParaRPr lang="pl-PL"/>
          </a:p>
        </c:txPr>
        <c:crossAx val="507008064"/>
        <c:crosses val="autoZero"/>
        <c:crossBetween val="between"/>
        <c:majorUnit val="200"/>
      </c:valAx>
    </c:plotArea>
    <c:legend>
      <c:legendPos val="t"/>
      <c:overlay val="0"/>
      <c:txPr>
        <a:bodyPr/>
        <a:lstStyle/>
        <a:p>
          <a:pPr>
            <a:defRPr sz="95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0.32781</cdr:x>
      <cdr:y>0.08694</cdr:y>
    </cdr:from>
    <cdr:to>
      <cdr:x>0.33277</cdr:x>
      <cdr:y>0.22477</cdr:y>
    </cdr:to>
    <cdr:cxnSp macro="">
      <cdr:nvCxnSpPr>
        <cdr:cNvPr id="3" name="Łącznik prostoliniowy 2"/>
        <cdr:cNvCxnSpPr/>
      </cdr:nvCxnSpPr>
      <cdr:spPr>
        <a:xfrm xmlns:a="http://schemas.openxmlformats.org/drawingml/2006/main">
          <a:off x="933594" y="180471"/>
          <a:ext cx="14125" cy="286110"/>
        </a:xfrm>
        <a:prstGeom xmlns:a="http://schemas.openxmlformats.org/drawingml/2006/main" prst="line">
          <a:avLst/>
        </a:prstGeom>
        <a:ln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0.43234</cdr:x>
      <cdr:y>0.22337</cdr:y>
    </cdr:from>
    <cdr:to>
      <cdr:x>0.5396</cdr:x>
      <cdr:y>0.35739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2495550" y="619125"/>
          <a:ext cx="619125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0.08982</cdr:x>
      <cdr:y>0.13494</cdr:y>
    </cdr:from>
    <cdr:to>
      <cdr:x>0.33981</cdr:x>
      <cdr:y>0.38368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517525" y="313111"/>
          <a:ext cx="1440440" cy="5771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pl-PL" sz="900" kern="1200"/>
            <a:t>plan:  112,6 mld  zł</a:t>
          </a:r>
          <a:r>
            <a:rPr lang="pl-PL" sz="900" kern="1200" baseline="0"/>
            <a:t> </a:t>
          </a:r>
        </a:p>
        <a:p xmlns:a="http://schemas.openxmlformats.org/drawingml/2006/main">
          <a:pPr algn="r"/>
          <a:r>
            <a:rPr lang="pl-PL" sz="900" kern="1200"/>
            <a:t>wykonanie:</a:t>
          </a:r>
          <a:r>
            <a:rPr lang="pl-PL" sz="900" kern="1200" baseline="0"/>
            <a:t>  112,8 mld  zł</a:t>
          </a:r>
        </a:p>
        <a:p xmlns:a="http://schemas.openxmlformats.org/drawingml/2006/main">
          <a:pPr algn="r"/>
          <a:endParaRPr lang="pl-PL" sz="900" kern="1200"/>
        </a:p>
      </cdr:txBody>
    </cdr:sp>
  </cdr:relSizeAnchor>
  <cdr:relSizeAnchor xmlns:cdr="http://schemas.openxmlformats.org/drawingml/2006/chartDrawing">
    <cdr:from>
      <cdr:x>0.33086</cdr:x>
      <cdr:y>0.23377</cdr:y>
    </cdr:from>
    <cdr:to>
      <cdr:x>0.45213</cdr:x>
      <cdr:y>0.38294</cdr:y>
    </cdr:to>
    <cdr:cxnSp macro="">
      <cdr:nvCxnSpPr>
        <cdr:cNvPr id="5" name="Łącznik prosty ze strzałką 4"/>
        <cdr:cNvCxnSpPr/>
      </cdr:nvCxnSpPr>
      <cdr:spPr>
        <a:xfrm xmlns:a="http://schemas.openxmlformats.org/drawingml/2006/main">
          <a:off x="1906438" y="542410"/>
          <a:ext cx="698739" cy="34611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0.14542</cdr:x>
      <cdr:y>0.06489</cdr:y>
    </cdr:from>
    <cdr:to>
      <cdr:x>0.39716</cdr:x>
      <cdr:y>0.26743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836703" y="146649"/>
          <a:ext cx="1448445" cy="4577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pl-PL" sz="900"/>
            <a:t>plan:  13,9 mld  zł</a:t>
          </a:r>
        </a:p>
        <a:p xmlns:a="http://schemas.openxmlformats.org/drawingml/2006/main">
          <a:pPr algn="r"/>
          <a:r>
            <a:rPr lang="pl-PL" sz="900"/>
            <a:t>wykonanie:</a:t>
          </a:r>
          <a:r>
            <a:rPr lang="pl-PL" sz="900" baseline="0"/>
            <a:t>  15,3 mld  zł</a:t>
          </a:r>
          <a:endParaRPr lang="pl-PL" sz="900"/>
        </a:p>
      </cdr:txBody>
    </cdr:sp>
  </cdr:relSizeAnchor>
  <cdr:relSizeAnchor xmlns:cdr="http://schemas.openxmlformats.org/drawingml/2006/chartDrawing">
    <cdr:from>
      <cdr:x>0.32684</cdr:x>
      <cdr:y>0.22902</cdr:y>
    </cdr:from>
    <cdr:to>
      <cdr:x>0.44229</cdr:x>
      <cdr:y>0.33972</cdr:y>
    </cdr:to>
    <cdr:cxnSp macro="">
      <cdr:nvCxnSpPr>
        <cdr:cNvPr id="4" name="Łącznik prosty ze strzałką 3"/>
        <cdr:cNvCxnSpPr/>
      </cdr:nvCxnSpPr>
      <cdr:spPr>
        <a:xfrm xmlns:a="http://schemas.openxmlformats.org/drawingml/2006/main">
          <a:off x="1880558" y="517585"/>
          <a:ext cx="664234" cy="250166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705A-832F-4381-96E3-6D150F8A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1601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Żebrowski, Paweł</cp:lastModifiedBy>
  <cp:revision>3</cp:revision>
  <cp:lastPrinted>2019-11-20T13:27:00Z</cp:lastPrinted>
  <dcterms:created xsi:type="dcterms:W3CDTF">2020-08-26T11:50:00Z</dcterms:created>
  <dcterms:modified xsi:type="dcterms:W3CDTF">2020-09-02T07:07:00Z</dcterms:modified>
</cp:coreProperties>
</file>