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61" w:rsidRPr="005F2488" w:rsidRDefault="00E24D61" w:rsidP="0081210E">
      <w:pPr>
        <w:pStyle w:val="Nagwek1"/>
        <w:rPr>
          <w:rFonts w:eastAsia="Times New Roman"/>
        </w:rPr>
      </w:pPr>
      <w:r w:rsidRPr="005F2488">
        <w:rPr>
          <w:rFonts w:eastAsia="Times New Roman"/>
        </w:rPr>
        <w:t>Świadczenie wychowawcze 500+ i Rodzinny Kapitał Opiekuńczy</w:t>
      </w:r>
      <w:r w:rsidR="00D90A09">
        <w:rPr>
          <w:rFonts w:eastAsia="Times New Roman"/>
        </w:rPr>
        <w:t xml:space="preserve"> </w:t>
      </w:r>
      <w:r w:rsidRPr="005F2488">
        <w:rPr>
          <w:rFonts w:eastAsia="Times New Roman"/>
        </w:rPr>
        <w:t xml:space="preserve">Informacja dla obywateli Ukrainy zamieszkałych w Polsce, będących rodzicami  </w:t>
      </w: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</w:p>
    <w:p w:rsidR="00E24D61" w:rsidRPr="005F2488" w:rsidRDefault="00E24D61" w:rsidP="0081210E">
      <w:pPr>
        <w:pStyle w:val="Nagwek2"/>
        <w:rPr>
          <w:rFonts w:eastAsia="Times New Roman"/>
        </w:rPr>
      </w:pPr>
      <w:r w:rsidRPr="005F2488">
        <w:rPr>
          <w:rFonts w:eastAsia="Times New Roman"/>
        </w:rPr>
        <w:t xml:space="preserve">Świadczenie wychowawcze 500+ </w:t>
      </w: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  <w:r w:rsidRPr="005F2488">
        <w:rPr>
          <w:rFonts w:eastAsia="Times New Roman" w:cs="Calibri"/>
        </w:rPr>
        <w:t>Świadczenie wychowawcze rodzic może otrzymać  na każde dziecko do ukończenia przez nie 18 lat, jeśli dziecko wspólnie z nim mieszka oraz pozostaje na jego utrzymaniu.</w:t>
      </w: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  <w:r w:rsidRPr="005F2488">
        <w:rPr>
          <w:rFonts w:eastAsia="Times New Roman" w:cs="Calibri"/>
        </w:rPr>
        <w:t xml:space="preserve">Prawo do świadczenia wychowawczego ZUS ustala na tzw. okres świadczeniowy, który trwa od 1 czerwca danego roku do 31 maja roku następnego. </w:t>
      </w: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  <w:r w:rsidRPr="005F2488">
        <w:rPr>
          <w:rFonts w:eastAsia="Times New Roman" w:cs="Calibri"/>
        </w:rPr>
        <w:t>Świadczenie wychowawcze przysługuje w wysokości 500 zł miesięcznie na dziecko.</w:t>
      </w: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</w:p>
    <w:p w:rsidR="00E24D61" w:rsidRPr="005F2488" w:rsidRDefault="00E24D61" w:rsidP="0081210E">
      <w:pPr>
        <w:pStyle w:val="Nagwek2"/>
        <w:rPr>
          <w:rFonts w:eastAsia="Times New Roman"/>
        </w:rPr>
      </w:pPr>
      <w:r w:rsidRPr="005F2488">
        <w:rPr>
          <w:rFonts w:eastAsia="Times New Roman"/>
        </w:rPr>
        <w:t xml:space="preserve">Rodzinny Kapitał Opiekuńczy </w:t>
      </w: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Theme="minorHAnsi" w:cs="Calibri"/>
          <w:shd w:val="clear" w:color="auto" w:fill="FFFFFF"/>
          <w:lang w:eastAsia="en-US"/>
        </w:rPr>
      </w:pPr>
      <w:r w:rsidRPr="005F2488">
        <w:rPr>
          <w:rStyle w:val="Pogrubienie"/>
          <w:rFonts w:cs="Calibri"/>
          <w:shd w:val="clear" w:color="auto" w:fill="FFFFFF"/>
        </w:rPr>
        <w:t xml:space="preserve">Rodzinny kapitał opiekuńczy (RKO) można uzyskać na dziecko w wieku od 12-tego  do 35-tego miesiąca życia. </w:t>
      </w:r>
      <w:r w:rsidRPr="005F2488">
        <w:rPr>
          <w:rFonts w:eastAsia="Times New Roman" w:cs="Calibri"/>
        </w:rPr>
        <w:t>Kapitał przysługuje  na drugie i kolejne dziecko w rodzinie, jeśli dziecko wspólnie mieszka oraz jest utrzymywane przez rodzica.</w:t>
      </w: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  <w:r w:rsidRPr="005F2488">
        <w:rPr>
          <w:rFonts w:eastAsia="Times New Roman" w:cs="Calibri"/>
        </w:rPr>
        <w:t xml:space="preserve">Rodzic  dziecka decyduje czy chce otrzymywać świadczenie w wysokości 500 zł przez 24 miesiące, czy w wysokości 1 000 zł przez 12 miesięcy. Łącznie kwota kapitału wynosi do 12 tys. zł na dziecko. </w:t>
      </w: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</w:p>
    <w:p w:rsidR="00E24D61" w:rsidRPr="005F2488" w:rsidRDefault="00E24D61" w:rsidP="0081210E">
      <w:pPr>
        <w:pStyle w:val="Nagwek2"/>
        <w:rPr>
          <w:rFonts w:eastAsia="Times New Roman"/>
        </w:rPr>
      </w:pPr>
      <w:r w:rsidRPr="005F2488">
        <w:rPr>
          <w:rFonts w:eastAsia="Times New Roman"/>
        </w:rPr>
        <w:t>Kiedy świadczenie 500+ i RKO przysługują obywatelom Ukrainy zamieszkałym w Polsce</w:t>
      </w: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  <w:r w:rsidRPr="005F2488">
        <w:rPr>
          <w:rFonts w:eastAsia="Times New Roman" w:cs="Calibri"/>
        </w:rPr>
        <w:t xml:space="preserve">Świadczenie wychowawcze i rodzinny kapitał opiekuńczy mogą otrzymać obywatele Ukrainy, którzy zamieszkują na stałe w Polsce. </w:t>
      </w:r>
    </w:p>
    <w:p w:rsidR="00E24D61" w:rsidRPr="005F2488" w:rsidRDefault="00E24D61" w:rsidP="0081210E">
      <w:pPr>
        <w:spacing w:after="0" w:line="240" w:lineRule="auto"/>
        <w:rPr>
          <w:rFonts w:eastAsiaTheme="minorHAnsi" w:cs="Calibri"/>
          <w:color w:val="auto"/>
          <w:lang w:eastAsia="en-US"/>
        </w:rPr>
      </w:pPr>
      <w:r w:rsidRPr="005F2488">
        <w:rPr>
          <w:rFonts w:cs="Calibri"/>
        </w:rPr>
        <w:t>Dokumentem potwierdzającym legalność pobytu i dostęp do rynku pracy w Polsce może być, m.in:</w:t>
      </w:r>
    </w:p>
    <w:p w:rsidR="00E24D61" w:rsidRPr="005F2488" w:rsidRDefault="00E24D61" w:rsidP="0081210E">
      <w:pPr>
        <w:pStyle w:val="Akapitzlist"/>
        <w:numPr>
          <w:ilvl w:val="0"/>
          <w:numId w:val="5"/>
        </w:numPr>
        <w:spacing w:before="0" w:beforeAutospacing="0" w:after="0" w:afterAutospacing="0"/>
        <w:ind w:left="567" w:hanging="567"/>
        <w:jc w:val="left"/>
        <w:rPr>
          <w:rFonts w:cs="Calibri"/>
          <w:sz w:val="22"/>
          <w:szCs w:val="22"/>
        </w:rPr>
      </w:pPr>
      <w:r w:rsidRPr="005F2488">
        <w:rPr>
          <w:rFonts w:cs="Calibri"/>
          <w:sz w:val="22"/>
          <w:szCs w:val="22"/>
        </w:rPr>
        <w:t>karta pobytu z adnotacją „dostęp do rynku pracy”;</w:t>
      </w:r>
    </w:p>
    <w:p w:rsidR="00E24D61" w:rsidRPr="005F2488" w:rsidRDefault="00E24D61" w:rsidP="0081210E">
      <w:pPr>
        <w:pStyle w:val="Akapitzlist"/>
        <w:numPr>
          <w:ilvl w:val="0"/>
          <w:numId w:val="5"/>
        </w:numPr>
        <w:spacing w:before="0" w:beforeAutospacing="0" w:after="0" w:afterAutospacing="0"/>
        <w:ind w:left="567" w:hanging="567"/>
        <w:jc w:val="left"/>
        <w:rPr>
          <w:rFonts w:cs="Calibri"/>
          <w:sz w:val="22"/>
          <w:szCs w:val="22"/>
        </w:rPr>
      </w:pPr>
      <w:r w:rsidRPr="005F2488">
        <w:rPr>
          <w:rFonts w:cs="Calibri"/>
          <w:sz w:val="22"/>
          <w:szCs w:val="22"/>
        </w:rPr>
        <w:t>zezwolenie na pobyt stały lub karta stałego pobytu,</w:t>
      </w:r>
    </w:p>
    <w:p w:rsidR="00E24D61" w:rsidRPr="005F2488" w:rsidRDefault="00E24D61" w:rsidP="0081210E">
      <w:pPr>
        <w:pStyle w:val="Akapitzlist"/>
        <w:numPr>
          <w:ilvl w:val="0"/>
          <w:numId w:val="5"/>
        </w:numPr>
        <w:spacing w:before="0" w:beforeAutospacing="0" w:after="0" w:afterAutospacing="0"/>
        <w:ind w:left="567" w:hanging="567"/>
        <w:jc w:val="left"/>
        <w:rPr>
          <w:rFonts w:cs="Calibri"/>
          <w:sz w:val="22"/>
          <w:szCs w:val="22"/>
        </w:rPr>
      </w:pPr>
      <w:r w:rsidRPr="005F2488">
        <w:rPr>
          <w:rFonts w:cs="Calibri"/>
          <w:sz w:val="22"/>
          <w:szCs w:val="22"/>
        </w:rPr>
        <w:t>decyzja:</w:t>
      </w:r>
    </w:p>
    <w:p w:rsidR="00E24D61" w:rsidRPr="005F2488" w:rsidRDefault="00E24D61" w:rsidP="0081210E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eastAsia="Times New Roman" w:cs="Calibri"/>
        </w:rPr>
      </w:pPr>
      <w:r w:rsidRPr="005F2488">
        <w:rPr>
          <w:rFonts w:eastAsia="Times New Roman" w:cs="Calibri"/>
        </w:rPr>
        <w:t>o przyznaniu statusu uchodźcy,</w:t>
      </w:r>
    </w:p>
    <w:p w:rsidR="00E24D61" w:rsidRPr="005F2488" w:rsidRDefault="00E24D61" w:rsidP="0081210E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eastAsia="Times New Roman" w:cs="Calibri"/>
        </w:rPr>
      </w:pPr>
      <w:r w:rsidRPr="005F2488">
        <w:rPr>
          <w:rFonts w:eastAsia="Times New Roman" w:cs="Calibri"/>
        </w:rPr>
        <w:t>o udzieleniu ochrony uzupełniającej,</w:t>
      </w:r>
    </w:p>
    <w:p w:rsidR="00E24D61" w:rsidRPr="005F2488" w:rsidRDefault="00E24D61" w:rsidP="0081210E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eastAsia="Times New Roman" w:cs="Calibri"/>
        </w:rPr>
      </w:pPr>
      <w:r w:rsidRPr="005F2488">
        <w:rPr>
          <w:rFonts w:eastAsia="Times New Roman" w:cs="Calibri"/>
        </w:rPr>
        <w:t>o udzieleniu zgody na pobyt ze względów humanitarnych</w:t>
      </w:r>
    </w:p>
    <w:p w:rsidR="00E24D61" w:rsidRPr="005F2488" w:rsidRDefault="00E24D61" w:rsidP="0081210E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eastAsia="Times New Roman" w:cs="Calibri"/>
        </w:rPr>
      </w:pPr>
      <w:r w:rsidRPr="005F2488">
        <w:rPr>
          <w:rFonts w:eastAsia="Times New Roman" w:cs="Calibri"/>
        </w:rPr>
        <w:t>o udzieleniu zgody na pobyt tolerowany,</w:t>
      </w:r>
    </w:p>
    <w:p w:rsidR="00E24D61" w:rsidRPr="005F2488" w:rsidRDefault="00E24D61" w:rsidP="0081210E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eastAsia="Times New Roman" w:cs="Calibri"/>
        </w:rPr>
      </w:pPr>
      <w:bookmarkStart w:id="0" w:name="_GoBack"/>
      <w:bookmarkEnd w:id="0"/>
      <w:r w:rsidRPr="005F2488">
        <w:rPr>
          <w:rFonts w:eastAsia="Times New Roman" w:cs="Calibri"/>
        </w:rPr>
        <w:t>o udzieleniu ochrony czasowej w Polsce,</w:t>
      </w:r>
    </w:p>
    <w:p w:rsidR="00E24D61" w:rsidRPr="005F2488" w:rsidRDefault="00E24D61" w:rsidP="0081210E">
      <w:pPr>
        <w:pStyle w:val="Akapitzlist"/>
        <w:spacing w:before="0" w:beforeAutospacing="0" w:after="0" w:afterAutospacing="0"/>
        <w:ind w:left="770"/>
        <w:jc w:val="left"/>
        <w:rPr>
          <w:rFonts w:eastAsiaTheme="minorHAnsi" w:cs="Calibri"/>
          <w:sz w:val="22"/>
          <w:szCs w:val="22"/>
        </w:rPr>
      </w:pPr>
      <w:r w:rsidRPr="005F2488">
        <w:rPr>
          <w:rFonts w:cs="Calibri"/>
          <w:sz w:val="22"/>
          <w:szCs w:val="22"/>
        </w:rPr>
        <w:t>lub karta pobytu wydanej na podstawie jednej z ww. decyzji;</w:t>
      </w:r>
    </w:p>
    <w:p w:rsidR="00E24D61" w:rsidRPr="005F2488" w:rsidRDefault="00E24D61" w:rsidP="0081210E">
      <w:pPr>
        <w:pStyle w:val="Akapitzlist"/>
        <w:numPr>
          <w:ilvl w:val="0"/>
          <w:numId w:val="5"/>
        </w:numPr>
        <w:spacing w:before="0" w:beforeAutospacing="0" w:after="0" w:afterAutospacing="0"/>
        <w:ind w:left="567" w:hanging="567"/>
        <w:jc w:val="left"/>
        <w:rPr>
          <w:rFonts w:cs="Calibri"/>
          <w:sz w:val="22"/>
          <w:szCs w:val="22"/>
        </w:rPr>
      </w:pPr>
      <w:r w:rsidRPr="005F2488">
        <w:rPr>
          <w:rFonts w:cs="Calibri"/>
          <w:sz w:val="22"/>
          <w:szCs w:val="22"/>
        </w:rPr>
        <w:t xml:space="preserve">zezwolenie na pobyt czasowy w Polsce wraz z zezwoleniem na pracę wydanym na okres dłuższy niż 6 miesięcy, albo karta pobytu wydana w związku z udzieleniem danego zezwolenia na pobyt czasowy wraz z zezwoleniem na pracę; </w:t>
      </w:r>
    </w:p>
    <w:p w:rsidR="00E24D61" w:rsidRPr="005F2488" w:rsidRDefault="00E24D61" w:rsidP="0081210E">
      <w:pPr>
        <w:pStyle w:val="Akapitzlist"/>
        <w:numPr>
          <w:ilvl w:val="0"/>
          <w:numId w:val="5"/>
        </w:numPr>
        <w:spacing w:before="0" w:beforeAutospacing="0" w:after="0" w:afterAutospacing="0"/>
        <w:ind w:left="567" w:hanging="567"/>
        <w:jc w:val="left"/>
        <w:rPr>
          <w:rFonts w:cs="Calibri"/>
          <w:sz w:val="22"/>
          <w:szCs w:val="22"/>
        </w:rPr>
      </w:pPr>
      <w:r w:rsidRPr="005F2488">
        <w:rPr>
          <w:rFonts w:cs="Calibri"/>
          <w:sz w:val="22"/>
          <w:szCs w:val="22"/>
        </w:rPr>
        <w:t>zezwolenie na pobyt czasowy w Polsce lub karta pobytu wydana w związku z udzieleniem danego zezwolenia na pobyt czasowy - w przypadku, gdy rodzaj zezwolenia na pobyt czasowy w Polsce zwalnia cudzoziemca z obowiązku posiadania zezwolenia na pracę; takimi zezwoleniami są np.:</w:t>
      </w:r>
    </w:p>
    <w:p w:rsidR="00E24D61" w:rsidRPr="005F2488" w:rsidRDefault="00E24D61" w:rsidP="0081210E">
      <w:pPr>
        <w:numPr>
          <w:ilvl w:val="1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eastAsia="Times New Roman" w:cs="Calibri"/>
        </w:rPr>
      </w:pPr>
      <w:r w:rsidRPr="005F2488">
        <w:rPr>
          <w:rFonts w:eastAsia="Times New Roman" w:cs="Calibri"/>
        </w:rPr>
        <w:t>zezwolenie na pobyt czasowy dla członka rodziny obywatela polskiego udzielone w związku z pozostawaniem w uznawanym przez prawo polskie związku małżeńskim z obywatelem polskim, wydane na podstawie art. 158 ust. 1 ustawy o cudzoziemcach,</w:t>
      </w:r>
    </w:p>
    <w:p w:rsidR="00E24D61" w:rsidRPr="005F2488" w:rsidRDefault="00E24D61" w:rsidP="0081210E">
      <w:pPr>
        <w:numPr>
          <w:ilvl w:val="1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eastAsia="Times New Roman" w:cs="Calibri"/>
        </w:rPr>
      </w:pPr>
      <w:r w:rsidRPr="005F2488">
        <w:rPr>
          <w:rFonts w:eastAsia="Times New Roman" w:cs="Calibri"/>
        </w:rPr>
        <w:lastRenderedPageBreak/>
        <w:t>zezwolenie na pobyt czasowy w celu połączenia się z rodziną, wydane na podstawie art. 159 ust. 1 albo art. 161 ust. 2 ustawy o cudzoziemcach,</w:t>
      </w:r>
    </w:p>
    <w:p w:rsidR="00E24D61" w:rsidRPr="005F2488" w:rsidRDefault="00E24D61" w:rsidP="0081210E">
      <w:pPr>
        <w:numPr>
          <w:ilvl w:val="1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eastAsia="Times New Roman" w:cs="Calibri"/>
        </w:rPr>
      </w:pPr>
      <w:r w:rsidRPr="005F2488">
        <w:rPr>
          <w:rFonts w:eastAsia="Times New Roman" w:cs="Calibri"/>
        </w:rPr>
        <w:t xml:space="preserve">zezwolenie na pobyt czasowy ze względu na inne okoliczności, wydane na podstawie art. 186 ust. 1 pkt 3, 4, 7 lub 8 ustawy o cudzoziemcach. </w:t>
      </w:r>
    </w:p>
    <w:p w:rsidR="00E24D61" w:rsidRPr="005F2488" w:rsidRDefault="00E24D61" w:rsidP="0081210E">
      <w:pPr>
        <w:pStyle w:val="Akapitzlist"/>
        <w:numPr>
          <w:ilvl w:val="0"/>
          <w:numId w:val="5"/>
        </w:numPr>
        <w:spacing w:before="0" w:beforeAutospacing="0" w:after="0" w:afterAutospacing="0"/>
        <w:ind w:left="567" w:hanging="567"/>
        <w:jc w:val="left"/>
        <w:rPr>
          <w:rFonts w:cs="Calibri"/>
          <w:sz w:val="22"/>
          <w:szCs w:val="22"/>
        </w:rPr>
      </w:pPr>
      <w:r w:rsidRPr="005F2488">
        <w:rPr>
          <w:rFonts w:cs="Calibri"/>
          <w:sz w:val="22"/>
          <w:szCs w:val="22"/>
        </w:rPr>
        <w:t xml:space="preserve">zaświadczenie wydane przez Szefa Urzędu ds. Cudzoziemców na podstawie art. 35 ustawy z dnia 13.06.2003 r. o udzielaniu cudzoziemcom ochrony na terytorium Rzeczypospolitej Polskiej wraz z tymczasowym zaświadczeniem tożsamości cudzoziemca; </w:t>
      </w:r>
    </w:p>
    <w:p w:rsidR="00E24D61" w:rsidRPr="005F2488" w:rsidRDefault="00E24D61" w:rsidP="0081210E">
      <w:pPr>
        <w:pStyle w:val="Akapitzlist"/>
        <w:numPr>
          <w:ilvl w:val="0"/>
          <w:numId w:val="5"/>
        </w:numPr>
        <w:spacing w:before="0" w:beforeAutospacing="0" w:after="0" w:afterAutospacing="0"/>
        <w:ind w:left="567" w:hanging="567"/>
        <w:jc w:val="left"/>
        <w:rPr>
          <w:rFonts w:cs="Calibri"/>
          <w:sz w:val="22"/>
          <w:szCs w:val="22"/>
        </w:rPr>
      </w:pPr>
      <w:r w:rsidRPr="005F2488">
        <w:rPr>
          <w:rFonts w:cs="Calibri"/>
          <w:sz w:val="22"/>
          <w:szCs w:val="22"/>
        </w:rPr>
        <w:t>karta pobytu wraz z Kartą Polaka;</w:t>
      </w: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</w:p>
    <w:p w:rsidR="00E24D61" w:rsidRPr="005F2488" w:rsidRDefault="00E24D61" w:rsidP="0081210E">
      <w:pPr>
        <w:pStyle w:val="Nagwek2"/>
        <w:rPr>
          <w:rFonts w:eastAsia="Times New Roman"/>
        </w:rPr>
      </w:pPr>
      <w:r w:rsidRPr="005F2488">
        <w:rPr>
          <w:rFonts w:eastAsia="Times New Roman"/>
        </w:rPr>
        <w:t xml:space="preserve">Składanie wniosków o 500+ i rodzinny kapitał opiekuńczy </w:t>
      </w: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  <w:color w:val="auto"/>
        </w:rPr>
      </w:pPr>
      <w:r w:rsidRPr="005F2488">
        <w:rPr>
          <w:rFonts w:eastAsia="Times New Roman" w:cs="Calibri"/>
        </w:rPr>
        <w:t xml:space="preserve">Wniosek o świadczenie wychowawcze oraz rodzinny kapitał opiekuńczy można złożyć elektronicznie przez PUE ZUS, portal </w:t>
      </w:r>
      <w:proofErr w:type="spellStart"/>
      <w:r w:rsidRPr="005F2488">
        <w:rPr>
          <w:rFonts w:eastAsia="Times New Roman" w:cs="Calibri"/>
        </w:rPr>
        <w:t>Emp@tia</w:t>
      </w:r>
      <w:proofErr w:type="spellEnd"/>
      <w:r w:rsidRPr="005F2488">
        <w:rPr>
          <w:rFonts w:eastAsia="Times New Roman" w:cs="Calibri"/>
        </w:rPr>
        <w:t xml:space="preserve"> oraz przez bankowość elektroniczną wielu polskich banków.</w:t>
      </w: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  <w:r w:rsidRPr="005F2488">
        <w:rPr>
          <w:rFonts w:eastAsia="Times New Roman" w:cs="Calibri"/>
        </w:rPr>
        <w:t xml:space="preserve">Rodzic może również w celu złożenia wniosku zgłosić się na salę obsługi klienta placówki ZUS, gdzie uzyska pomoc w wypełnieniu wniosku i jego elektronicznym złożeniu. </w:t>
      </w:r>
    </w:p>
    <w:p w:rsidR="00E24D61" w:rsidRPr="005F2488" w:rsidRDefault="00E24D61" w:rsidP="0081210E">
      <w:pPr>
        <w:shd w:val="clear" w:color="auto" w:fill="FFFFFF"/>
        <w:spacing w:after="0" w:line="240" w:lineRule="auto"/>
        <w:rPr>
          <w:rFonts w:eastAsia="Times New Roman" w:cs="Calibri"/>
        </w:rPr>
      </w:pPr>
      <w:r w:rsidRPr="005F2488">
        <w:rPr>
          <w:rFonts w:eastAsia="Times New Roman" w:cs="Calibri"/>
        </w:rPr>
        <w:t xml:space="preserve">Do wniosku obywatel Ukrainy powinien dołączyć dokument potwierdzający charakter pobytu w Polsce. </w:t>
      </w:r>
    </w:p>
    <w:p w:rsidR="00E24D61" w:rsidRDefault="00E24D61" w:rsidP="0081210E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5F2488">
        <w:rPr>
          <w:rFonts w:eastAsia="Times New Roman" w:cs="Calibri"/>
        </w:rPr>
        <w:t>Św</w:t>
      </w:r>
      <w:r>
        <w:rPr>
          <w:rFonts w:eastAsia="Times New Roman" w:cstheme="minorHAnsi"/>
        </w:rPr>
        <w:t>iadczenie ZUS wypłaca co miesiąc na wskazany rachunek bankowy.</w:t>
      </w:r>
    </w:p>
    <w:sectPr w:rsidR="00E24D61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E57" w:rsidRDefault="00765E57">
      <w:pPr>
        <w:spacing w:after="0" w:line="240" w:lineRule="auto"/>
      </w:pPr>
      <w:r>
        <w:separator/>
      </w:r>
    </w:p>
  </w:endnote>
  <w:endnote w:type="continuationSeparator" w:id="0">
    <w:p w:rsidR="00765E57" w:rsidRDefault="00765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4AA" w:rsidRDefault="001B44AA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E57" w:rsidRDefault="00765E57">
      <w:pPr>
        <w:spacing w:after="0" w:line="240" w:lineRule="auto"/>
      </w:pPr>
      <w:r>
        <w:separator/>
      </w:r>
    </w:p>
  </w:footnote>
  <w:footnote w:type="continuationSeparator" w:id="0">
    <w:p w:rsidR="00765E57" w:rsidRDefault="00765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4AA" w:rsidRDefault="001B44AA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80.25pt;height:80.25pt;visibility:visible" o:bullet="t">
        <v:imagedata r:id="rId1" o:title="bullet_gbutton_gray"/>
      </v:shape>
    </w:pict>
  </w:numPicBullet>
  <w:abstractNum w:abstractNumId="0">
    <w:nsid w:val="0CC3549C"/>
    <w:multiLevelType w:val="hybridMultilevel"/>
    <w:tmpl w:val="49F22144"/>
    <w:numStyleLink w:val="Zaimportowanystyl2"/>
  </w:abstractNum>
  <w:abstractNum w:abstractNumId="1">
    <w:nsid w:val="1AA85582"/>
    <w:multiLevelType w:val="hybridMultilevel"/>
    <w:tmpl w:val="31B670A6"/>
    <w:styleLink w:val="Obrazek"/>
    <w:lvl w:ilvl="0" w:tplc="05527544">
      <w:start w:val="1"/>
      <w:numFmt w:val="bullet"/>
      <w:lvlText w:val="•"/>
      <w:lvlPicBulletId w:val="0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1" w:tplc="29564D52">
      <w:start w:val="1"/>
      <w:numFmt w:val="bullet"/>
      <w:lvlText w:val="•"/>
      <w:lvlPicBulletId w:val="0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2" w:tplc="A15838B2">
      <w:start w:val="1"/>
      <w:numFmt w:val="bullet"/>
      <w:lvlText w:val="•"/>
      <w:lvlPicBulletId w:val="0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3" w:tplc="6966E996">
      <w:start w:val="1"/>
      <w:numFmt w:val="bullet"/>
      <w:lvlText w:val="•"/>
      <w:lvlPicBulletId w:val="0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4" w:tplc="C5969B96">
      <w:start w:val="1"/>
      <w:numFmt w:val="bullet"/>
      <w:lvlText w:val="•"/>
      <w:lvlPicBulletId w:val="0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5" w:tplc="51C42A86">
      <w:start w:val="1"/>
      <w:numFmt w:val="bullet"/>
      <w:lvlText w:val="•"/>
      <w:lvlPicBulletId w:val="0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6" w:tplc="CB40DBA4">
      <w:start w:val="1"/>
      <w:numFmt w:val="bullet"/>
      <w:lvlText w:val="•"/>
      <w:lvlPicBulletId w:val="0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7" w:tplc="D6EA836E">
      <w:start w:val="1"/>
      <w:numFmt w:val="bullet"/>
      <w:lvlText w:val="•"/>
      <w:lvlPicBulletId w:val="0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8" w:tplc="83B420B0">
      <w:start w:val="1"/>
      <w:numFmt w:val="bullet"/>
      <w:lvlText w:val="•"/>
      <w:lvlPicBulletId w:val="0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</w:abstractNum>
  <w:abstractNum w:abstractNumId="2">
    <w:nsid w:val="28736B3C"/>
    <w:multiLevelType w:val="hybridMultilevel"/>
    <w:tmpl w:val="49F22144"/>
    <w:styleLink w:val="Zaimportowanystyl2"/>
    <w:lvl w:ilvl="0" w:tplc="A8707E1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5FCBDA2">
      <w:start w:val="1"/>
      <w:numFmt w:val="bullet"/>
      <w:lvlText w:val="-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64DA9644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2392FF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CFD228E6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CB239EA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E56C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01C6782C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C1BE0EF6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>
    <w:nsid w:val="29124244"/>
    <w:multiLevelType w:val="hybridMultilevel"/>
    <w:tmpl w:val="EBBC36B0"/>
    <w:lvl w:ilvl="0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</w:abstractNum>
  <w:abstractNum w:abstractNumId="4">
    <w:nsid w:val="2AD856F6"/>
    <w:multiLevelType w:val="multilevel"/>
    <w:tmpl w:val="DA44E8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>
    <w:nsid w:val="2DBF2590"/>
    <w:multiLevelType w:val="hybridMultilevel"/>
    <w:tmpl w:val="31B670A6"/>
    <w:numStyleLink w:val="Obrazek"/>
  </w:abstractNum>
  <w:abstractNum w:abstractNumId="6">
    <w:nsid w:val="30A72A18"/>
    <w:multiLevelType w:val="multilevel"/>
    <w:tmpl w:val="3C9EC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4F004C"/>
    <w:multiLevelType w:val="multilevel"/>
    <w:tmpl w:val="FF44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AA"/>
    <w:rsid w:val="001B44AA"/>
    <w:rsid w:val="0038304D"/>
    <w:rsid w:val="005F2488"/>
    <w:rsid w:val="00670F28"/>
    <w:rsid w:val="00765E57"/>
    <w:rsid w:val="0081210E"/>
    <w:rsid w:val="00881FCA"/>
    <w:rsid w:val="00A9375F"/>
    <w:rsid w:val="00D90A09"/>
    <w:rsid w:val="00E2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B5E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0A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0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2">
    <w:name w:val="Zaimportowany styl 2"/>
    <w:pPr>
      <w:numPr>
        <w:numId w:val="1"/>
      </w:numPr>
    </w:pPr>
  </w:style>
  <w:style w:type="numbering" w:customStyle="1" w:styleId="Obrazek">
    <w:name w:val="Obrazek"/>
    <w:pPr>
      <w:numPr>
        <w:numId w:val="3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24D61"/>
    <w:rPr>
      <w:rFonts w:ascii="Calibri" w:eastAsia="Times New Roman" w:hAnsi="Calibri"/>
      <w:color w:val="000000"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E24D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720"/>
      <w:contextualSpacing/>
      <w:jc w:val="both"/>
    </w:pPr>
    <w:rPr>
      <w:rFonts w:eastAsia="Times New Roman" w:cs="Times New Roman"/>
      <w:sz w:val="24"/>
      <w:szCs w:val="20"/>
    </w:rPr>
  </w:style>
  <w:style w:type="character" w:styleId="Pogrubienie">
    <w:name w:val="Strong"/>
    <w:basedOn w:val="Domylnaczcionkaakapitu"/>
    <w:uiPriority w:val="22"/>
    <w:qFormat/>
    <w:rsid w:val="00E24D61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D90A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D90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0A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0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2">
    <w:name w:val="Zaimportowany styl 2"/>
    <w:pPr>
      <w:numPr>
        <w:numId w:val="1"/>
      </w:numPr>
    </w:pPr>
  </w:style>
  <w:style w:type="numbering" w:customStyle="1" w:styleId="Obrazek">
    <w:name w:val="Obrazek"/>
    <w:pPr>
      <w:numPr>
        <w:numId w:val="3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24D61"/>
    <w:rPr>
      <w:rFonts w:ascii="Calibri" w:eastAsia="Times New Roman" w:hAnsi="Calibri"/>
      <w:color w:val="000000"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E24D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720"/>
      <w:contextualSpacing/>
      <w:jc w:val="both"/>
    </w:pPr>
    <w:rPr>
      <w:rFonts w:eastAsia="Times New Roman" w:cs="Times New Roman"/>
      <w:sz w:val="24"/>
      <w:szCs w:val="20"/>
    </w:rPr>
  </w:style>
  <w:style w:type="character" w:styleId="Pogrubienie">
    <w:name w:val="Strong"/>
    <w:basedOn w:val="Domylnaczcionkaakapitu"/>
    <w:uiPriority w:val="22"/>
    <w:qFormat/>
    <w:rsid w:val="00E24D61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D90A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D90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507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Wójcik Arkadiusz</dc:creator>
  <cp:lastModifiedBy>Borowska, Anna</cp:lastModifiedBy>
  <cp:revision>7</cp:revision>
  <dcterms:created xsi:type="dcterms:W3CDTF">2022-02-28T10:44:00Z</dcterms:created>
  <dcterms:modified xsi:type="dcterms:W3CDTF">2022-03-02T07:28:00Z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83eb73-1339-4c09-b43c-88ef2eea0029_Enabled">
    <vt:lpwstr>true</vt:lpwstr>
  </property>
  <property fmtid="{D5CDD505-2E9C-101B-9397-08002B2CF9AE}" pid="3" name="MSIP_Label_ab83eb73-1339-4c09-b43c-88ef2eea0029_SetDate">
    <vt:lpwstr>2022-02-28T10:43:11Z</vt:lpwstr>
  </property>
  <property fmtid="{D5CDD505-2E9C-101B-9397-08002B2CF9AE}" pid="4" name="MSIP_Label_ab83eb73-1339-4c09-b43c-88ef2eea0029_Method">
    <vt:lpwstr>Standard</vt:lpwstr>
  </property>
  <property fmtid="{D5CDD505-2E9C-101B-9397-08002B2CF9AE}" pid="5" name="MSIP_Label_ab83eb73-1339-4c09-b43c-88ef2eea0029_Name">
    <vt:lpwstr>Wewnętrzny Asseco</vt:lpwstr>
  </property>
  <property fmtid="{D5CDD505-2E9C-101B-9397-08002B2CF9AE}" pid="6" name="MSIP_Label_ab83eb73-1339-4c09-b43c-88ef2eea0029_SiteId">
    <vt:lpwstr>88152bde-cfa3-4a5c-b981-a785c624bb42</vt:lpwstr>
  </property>
  <property fmtid="{D5CDD505-2E9C-101B-9397-08002B2CF9AE}" pid="7" name="MSIP_Label_ab83eb73-1339-4c09-b43c-88ef2eea0029_ActionId">
    <vt:lpwstr>fe08b60a-fca1-45db-bc56-875b3433894b</vt:lpwstr>
  </property>
  <property fmtid="{D5CDD505-2E9C-101B-9397-08002B2CF9AE}" pid="8" name="MSIP_Label_ab83eb73-1339-4c09-b43c-88ef2eea0029_ContentBits">
    <vt:lpwstr>0</vt:lpwstr>
  </property>
</Properties>
</file>